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D-6195/2024 vom 29. August 2024</w:t>
      </w:r>
    </w:p>
    <w:p>
      <w:r>
        <w:t>Bundesverwaltungsgericht, 2024-08-29, IT</w:t>
      </w:r>
    </w:p>
    <w:p>
      <w:r>
        <w:rPr>
          <w:b/>
        </w:rPr>
        <w:t xml:space="preserve">Quelle: </w:t>
      </w:r>
      <w:r>
        <w:t>https://mcp.opencaselaw.ch/entscheid/bvger_D-6195_2024_d20240829</w:t>
      </w:r>
    </w:p>
    <w:p>
      <w:r>
        <w:t>FR: TAF D-6195/2024 du 29 août 2024</w:t>
      </w:r>
    </w:p>
    <w:p>
      <w:r>
        <w:t>IT: TAF D-6195/2024 del 29 agosto 2024</w:t>
      </w:r>
    </w:p>
    <w:p>
      <w:pPr>
        <w:pStyle w:val="Heading2"/>
      </w:pPr>
      <w:r>
        <w:t>Regeste</w:t>
      </w:r>
    </w:p>
    <w:p>
      <w:r>
        <w:t>Asilo (senza esecuzione dell'allontanamento) | Asilo (senza esecuzione dell'allontanamento); decisione della SEM del 29 agosto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dalle spese processuali, è respinta.</w:t>
      </w:r>
    </w:p>
    <w:p>
      <w:r>
        <w:rPr>
          <w:b/>
        </w:rPr>
        <w:t>E. 3</w:t>
      </w:r>
    </w:p>
    <w:p>
      <w:r>
        <w:t>La domanda di gratuito patrocinio è respinta.</w:t>
      </w:r>
    </w:p>
    <w:p>
      <w:r>
        <w:rPr>
          <w:b/>
        </w:rPr>
        <w:t>E. 4</w:t>
      </w:r>
    </w:p>
    <w:p>
      <w:r>
        <w:t>Le spese processuali di CHF 750.- sono poste a carico dei ricorrenti.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5</w:t>
      </w:r>
    </w:p>
    <w:p>
      <w:r>
        <w:t>Questa sentenza è comunicata ai ricorrenti,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