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D-6187/2013 vom 27. November 2013</w:t>
      </w:r>
    </w:p>
    <w:p>
      <w:r>
        <w:t>Bundesverwaltungsgericht, 2013-11-27, DE</w:t>
      </w:r>
    </w:p>
    <w:p>
      <w:r>
        <w:rPr>
          <w:b/>
        </w:rPr>
        <w:t xml:space="preserve">Quelle: </w:t>
      </w:r>
      <w:r>
        <w:t>https://mcp.opencaselaw.ch/entscheid/bvger_D-6187_2013</w:t>
      </w:r>
    </w:p>
    <w:p>
      <w:r>
        <w:t>FR: TAF D-6187/2013 du 27 novembre 2013</w:t>
      </w:r>
    </w:p>
    <w:p>
      <w:r>
        <w:t>IT: TAF D-6187/2013 del 27 novembre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Artikel 12, 19, 20, 41 Absatz 2, 52 und 68 in der bisherigen Fassung gelten.</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In der Regel entscheidet das Bundesverwaltungsgericht in der Besetzung mit drei Richtern oder drei Richterinnen (Art. 21 Abs. 1 VGG). Gestützt auf Art. 111a Abs. 1 AsylG kann auch in diesen Fällen auf die Durchführung eines Schriftenwechsels verzichtet werden.</w:t>
      </w:r>
    </w:p>
    <w:p>
      <w:r>
        <w:rPr>
          <w:b/>
        </w:rPr>
        <w:t>E. 5.1</w:t>
      </w:r>
    </w:p>
    <w:p>
      <w:r>
        <w:t>Das Bundesamt kann ein im Ausland gestelltes Asylgesuch ablehnen, wenn die asylsuchende Person keine Verfolgung glaubhaft machen kann oder ihr die Aufnahme in einem Drittstaat zugemutet werden kann (Art. 3, Art. 7 und alt Art. 52 Abs. 2 AsylG). Gemäss alt Art. 20 Abs. 2 AsylG bewilligt das Bundesamt einer asylsuchenden Person die Einreise zur Abklärung des Sachverhaltes, wenn ihr nicht zugemutet werden kann, im Wohnsitz- oder Aufenthaltsstaat zu bleiben oder in ein anderes Land auszureisen. Gestützt auf alt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Vorliegend hatte der Beschwerdeführer nicht nur Gelegenheit, seine Asylgründe schriftlich darzulegen, zu konkretisieren und zu dokumentieren, sondern er wurde am (...) 2011 auf der schweizerischen Vertretung in Colombo auch persönlich befragt. Anlässlich dieser Befragung hatte er insbesondere Gelegenheit, weitere Angaben zu seinen persönlichen Lebensumständen und zur aktuellen Verfolgungssituation zu machen.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 Eine Verfolgungssituation muss überdies aktuell sein, um gemäss Art. 3 AsylG als relevant zu gelten.</w:t>
      </w:r>
    </w:p>
    <w:p>
      <w:r>
        <w:rPr>
          <w:b/>
        </w:rPr>
        <w:t>E. 5.4</w:t>
      </w:r>
    </w:p>
    <w:p>
      <w:r>
        <w:t>Das BFM führte zur Begründung seiner Verfügung im Wesentlichen aus, massgebend für die Erteilung einer Einreisebewilligung sei die Gefährdungssituation der asylsuchenden Person zum Zeitpunkt des diesbezüglichen Entscheids. Mithin sei vergangene Verfolgung nur massgebend, wenn sie noch andaure oder konkrete Anzeichen für künftige Verfolgung bestehen würden. Eine Einreisebewilligung diene nämlich nicht dem Ausgleich vergangenen Unrechts, sondern soll demjenigen gewährt werden, der aktuell des Schutzes des Zufluchtlandes bedürfe. Die geltend gemachte Zwangsrekrutierung falle in einen Zeitraum vor und während des Krieges zwischen der Regierung und den LTTE und müsse heute mit anderen Augen betrachtet werden, da sich die Sicherheits- und Menschenrechtslage in Sri Lanka seit dem Kriegsende von Mai 2009 verbessert habe. Seither befinde sich das ganze Land wieder unter Regierungskontrolle, und es sei zu keinen terroristischen Aktivitäten der LTTE mehr gekommen. Die LTTE würden als geschlagen gelten und somit für den Beschwerdeführer heute keine Bedrohung mehr darstellen. Zudem sei die Anzahl von Gewaltereignissen wie Entführungen, Verschleppungen und Tötungen markant zurückgegangen. Mithin seien die geltend gemachten Verfolgungsvorbringen nicht einreiserelevant im Sinne von Art. 3 AsylG. Befürchtungen, künftig staatlichen Verfolgungsmassnahmen ausgesetzt zu sein, seien nur dann einreisebeachtlich, wenn begründeter Anlass zur Annahme bestehen würde, dass sich die Verfolgung mit beachtlicher Wahrscheinlichkeit und in absehbarer Zukunft verwirklichen werde. Zwar sei verständlich, dass sich der Beschwerdeführer aufgrund der erwähnten Vorfälle vor Verfolgungsmassnahmen fürchte und in die Schweiz ausreisen wolle. Dem Gesuch um Einreise in die Schweiz könne aber nicht entsprochen werden, da er - bei objektivierter Betrachtungsweise - nicht akut gefährdet sei. Dies ergäbe sich unter anderem auch daraus, dass er freigelassen und seither keine Anklage gegen ihn erhoben worden sei. Folglich ginge das BFM davon aus, dass keine Verdachtsmomente gegen ihn vorgelegen hätten und kein Verfolgungsinteresse der Behörden gegen ihn bestanden hätte. Schliesslich werte das BFM die Nachstellungen durch unbekannte Personen als nicht derart intensiv, dass sie eine Bewilligung einer Einreise rechtfertigen würden. Ferner gehe das BFM davon aus, dass er festgenommen worden wäre, wenn tatsächlich ein Verfolgungsinteresse an seiner Person bestanden hätte. Auch bestünden keine Hinweise auf eine allgemeine Unterstützung der bewaffneten Gruppierungen durch die SLA und den Staat. Daraus sei zu schliessen, dass er bei einem Verbleib im Heimatland nicht akut gefährdet und daher seine Furcht vor Verfolgung objektiv nicht begründet sei. Den Akten sei auch nicht zu entnehmen, dass er seit November 2011 noch irgendwelche Schwierigkeiten gehabt hätte oder ihm solche drohen würden, was ein weiteres Indiz dafür sei, dass er aktuell nicht gefährdet sei.</w:t>
      </w:r>
    </w:p>
    <w:p>
      <w:r>
        <w:rPr>
          <w:b/>
        </w:rPr>
        <w:t>E. 5.5</w:t>
      </w:r>
    </w:p>
    <w:p>
      <w:r>
        <w:t>Die Beschwerde beschränkt sich sinngemäss auf eine Wieder­holung der bisherigen Vorbringen im erstinstanzlichen Asylverfahren. Zusätzlich führt der Beschwerdeführer aus, seine Mutter sei zwischen­zeitlich an ihr früheres Domizil in B._______ zurückgekehrt, was ihm nicht möglich sei, da er weiterhin gesucht werde. Er halte sich zusammen mit (...) in J._______ versteckt. Seine Mutter habe sich beim Amt des Hohen Flüchtlingskommissars der Vereinten Nationen (UNHCR) betreffend das Verschwinden seines Bruders D._______ beschwert. Daraufhin sei sie aus Rache vom CID und durch die Sicherheitskräfte bedroht worden. D._______ habe sich am (...) 2009 in K._______ den Sicherheitskräften ergeben und sei seither verschwunden.</w:t>
      </w:r>
    </w:p>
    <w:p>
      <w:r>
        <w:rPr>
          <w:b/>
        </w:rPr>
        <w:t>E. 5.6</w:t>
      </w:r>
    </w:p>
    <w:p>
      <w:r>
        <w:t>Eine Überprüfung der Akten ergibt, dass sich die Erwägungen in der angefochtenen Verfügung als zutreffend erweisen. Mithin wurden die Vorbringen des Beschwerdeführers vom BFM zu Recht als den Anforderungen an eine Verfolgung im Sinne von Art. 3 AsylG nicht genügend qualifiziert; diesbezüglich kann vorweg auf E. 5.4 vorstehend verwiesen werden, wobei die zusätzlichen Ausführungen in der Beschwerde daran nichts zu ändern vermögen: So geht das Bundesverwaltungsgericht zum einen mit der Vorinstanz darin einig, dass die Asylgewährung nicht dem Ausgleich für vergangene Unbill dient, weshalb die im erstinstanzlichen Verfahren geltend gemachte Vorverfolgung als asylrechtlich nicht relevant einzustufen ist; zum andern hat sich die Situation in Sri Lanka seit der Beendigung des bewaffneten Konflikts zwischen der sri-lankischen Regierung und den LTTE im Mai 2009 grundlegend geändert. Zudem wurde der Beschwerdeführer freigelassen und ist seither keine Anklage gegen ihn erhoben worden. Folglich ging das BFM zu Recht davon aus, dass keine Verdachtsmomente gegen ihn vorgelegen haben und kein Verfolgungsinteresse der Behörden gegen ihn bestanden habe, gegenteiligenfalls davon auszugehen wäre, dass er noch während seines mehr als einjährigen Aufenthalts im Haus (...) in F._______, wo er eigenen Angaben zufolge ordentlich angemeldet war (...), festgenommen worden wäre. Zwar wird in der Beschwerde vorgebracht, die Mutter des Beschwerdeführers sei durch den CID und die Sicherheitskräfte bedroht worden, nachdem sie sich beim UNHCR betreffend das Verschwinden ihres Sohnes D._______ beschwert habe. Indes vermag der Beschwerdeführer auch daraus keine Verfolgung abzuleiten, die derart intensiv wäre, dass sie als einreiserelevant angesehen werden müsste, wäre doch davon auszugehen, dass er sich, wäre ab (...) 2011 tatsächlich in der von ihm geltend gemachten Weise nach ihm gesucht worden, im (...) 2011 nicht durch die sri-lankischen Behörden einen Reisepass hätte ausstellen lassen und diesen in Colombo abholen gegangen wäre (...). Nur der Vollständigkeit halber ist darauf hinzuweisen, dass blosse soziale und wirtschaftliche Schwierigkeiten, von denen die ansässige Bevölkerung im Allgemeinen betroffen ist, nicht genügen, um eine Einreisebewilligung zur Durchführung eines Asylverfahrens in der Schweiz zu erreichen.</w:t>
      </w:r>
    </w:p>
    <w:p>
      <w:r>
        <w:rPr>
          <w:b/>
        </w:rPr>
        <w:t>E. 5.7</w:t>
      </w:r>
    </w:p>
    <w:p>
      <w:r>
        <w:t>Schliesslich ist festzustellen, dass keine nahen Verwandten oder Bezugspersonen des Beschwerdeführers in der Schweiz leben und den Akten auch sonst keine Hinweise auf Anknüpfungspunkte zur Schweiz zu entnehmen sind.</w:t>
      </w:r>
    </w:p>
    <w:p>
      <w:r>
        <w:rPr>
          <w:b/>
        </w:rPr>
        <w:t>E. 5.8</w:t>
      </w:r>
    </w:p>
    <w:p>
      <w:r>
        <w:t>Der Beschwerdeführer vermochte insgesamt nicht aufzuzeigen, dass er auf die Schutzgewährung durch die Schweiz angewiesen ist beziehungsweise ihm gerade die Schweiz den erforderlichen Schutz gewähren muss. Der weitere Verbleib in Sri Lanka ist ihm nach dem Gesagten zuzumuten. Es erübrigt sich, auf die weiteren Vorbringen in der Beschwerde und die eingereichten Beweismittel einzugehen, da diese keine neuen Begründungselemente enthalten, welche geeignet wären, die Einschätzung des BFM entscheidend zu relativieren. Das BFM hat demnach dem Beschwerdeführer zu Recht die Einreise in die Schweiz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