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D-6182/2015 vom 13. Februar 2017</w:t>
      </w:r>
    </w:p>
    <w:p>
      <w:r>
        <w:t>Bundesverwaltungsgericht, 2017-02-13, FR</w:t>
      </w:r>
    </w:p>
    <w:p>
      <w:r>
        <w:rPr>
          <w:b/>
        </w:rPr>
        <w:t xml:space="preserve">Quelle: </w:t>
      </w:r>
      <w:r>
        <w:t>https://mcp.opencaselaw.ch/entscheid/bvger_D-6182_2015</w:t>
      </w:r>
    </w:p>
    <w:p>
      <w:r>
        <w:t>FR: TAF D-6182/2015 du 13 février 2017</w:t>
      </w:r>
    </w:p>
    <w:p>
      <w:r>
        <w:t>IT: TAF D-6182/2015 del 13 febbraio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Verwaltungs-verfahrensgesetz [VwVG] 2. Auflage, Zurich/Bâle/Genève 2016, art. 62 PA, N 42 à 49, p. 1306 ss. et ATAF 2009/57 consid. 1.2 et 2007/41 consid. 2).</w:t>
      </w:r>
    </w:p>
    <w:p>
      <w:r>
        <w:rPr>
          <w:b/>
        </w:rPr>
        <w:t>E. 2.1</w:t>
      </w:r>
    </w:p>
    <w:p>
      <w:r>
        <w:t>Il y a lieu d'examiner en premier lieu le grief des recourants selon lequel le SEM ne leur aurait à tort pas donné accès aux pièces A14/6, A18/3 et A/29.</w:t>
      </w:r>
    </w:p>
    <w:p>
      <w:r>
        <w:rPr>
          <w:b/>
        </w:rPr>
        <w:t>E. 2.2</w:t>
      </w:r>
    </w:p>
    <w:p>
      <w:r>
        <w:t>Garanti par la Constitution fédérale, le droit d'être entendu (art. 29 al. 2 Cst.) englobe également, comme partie intégrante, le droit de prendre connaissance de toutes les pièces qui sont de nature à fonder la décision. Le droit de consulter les pièces du dossier est réglé aux art. 26 à 28 PA. Selon l'art. 26 al. 1 PA, la partie a le droit de consulter les mémoires des parties et les observations responsives des autorités (let. a), tous les actes servant de moyens de preuve (let. b), ainsi que la copie de décisions notifiées (let. c). Ce droit d'accès au dossier doit être accordé même si son exercice n'influence en définitive pas la décision sur le fond. La consultation de pièces ne peut être ainsi refusée en arguant que ces dernières sont sans rapport avec l'issue de la procédure. Au contraire, la partie qui l'exige doit être laissée seule juge de la pertinence des documents exigés (cf. ATAF 2015/44 consid. 5.1 et 5.4 ; ATF 132 V 387 consid. 3.2; arrêt du Tribunal fédéral 1B_287/2012 du 25 juin 2012 consid. 2.3). Conformément à l'art. 27 al. 1 PA, l'autorité ne peut refuser la consultation des pièces que si des intérêts publics importants de la Confédération ou des cantons, en particulier la sécurité intérieure ou extérieure de la Confédération (let. a), ou si des intérêts privés importants, en particulier ceux des parties adverses (let. b) exigent que le secret soit gardé, ou si l'intérêt d'une enquête officielle non encore close l'exige (let. c). N'importe quel intérêt privé ou public opposé ne saurait suffire à justifier un refus de consultation.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façon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Enfin, une pièce dont la consultation a été refusée à la partie au sens de l'art. 27 PA ne peut être utilisée à son désavantage que si l'autorité lui a en a communiqué le contenu essentiel se rapportant à l'affaire et lui a donné en outre l'occasion de s'exprimer et de fournir des contre-preuves (cf. arrêt du Tribunal fédéral 2A.651/2005 du 21 novembre 2006 consid. 2.1, publié en français in : Revue de droit administratif et de droit fiscal [RDAF] 2007 II 140, p. 143 s. et les réf. cit.). Il convient de rappeler que le droit de consultation des pièces, se limite à la cause de la partie ("In ihrer Sache", art. 26 al. 1 PA) et ne va pas au-delà (cf. arrêt du Tribunal fédéral 2A.255/2002 du 22 avril 2003 consid. 2.3; Waldmann/Oeschger, in: Waldmann/Weissenberger, op. cit., art. 26 N. 57 p. 564). Ainsi, l'art. 26 PA n'octroie pas un droit de consulter le dossier d'autres procédures qui ne concernent pas la partie aussi longtemps que l'autorité n'en fait pas usage ou ne s'en sert pas pour bâtir une preuve ou un argument (cf. arrêt du Tribunal fédéral 2A.294/2002 du 3 juillet 2002 consid. 2.1).</w:t>
      </w:r>
    </w:p>
    <w:p>
      <w:r>
        <w:rPr>
          <w:b/>
        </w:rPr>
        <w:t>E. 3.1</w:t>
      </w:r>
    </w:p>
    <w:p>
      <w:r>
        <w:t>Dans le cas particulier, le SEM n'ayant pas été saisi d'une requête de consultation des pièces avant le prononcé de sa décision, les recourants ne sauraient valablement lui reprocher une violation de ce droit qu'ils n'ont pas demandé à pouvoir exercer. Leur grief tombe ainsi à faux.</w:t>
      </w:r>
    </w:p>
    <w:p>
      <w:r>
        <w:rPr>
          <w:b/>
        </w:rPr>
        <w:t>E. 3.2</w:t>
      </w:r>
    </w:p>
    <w:p>
      <w:r>
        <w:t>Cela étant, il convient d'examiner si les pièces dont ils ont demandé la consultation dans le cadre de la présente procédure de recours doivent leur être transmises.</w:t>
      </w:r>
    </w:p>
    <w:p>
      <w:r>
        <w:rPr>
          <w:b/>
        </w:rPr>
        <w:t>E. 3.2.1</w:t>
      </w:r>
    </w:p>
    <w:p>
      <w:r>
        <w:t>La pièce A/29 est une copie du film interdit « l'Innocence des Musulmans » qui, en soit, devrait être transmise à consultation, puisqu'il est produit comme moyen censé étayer les motifs d'asile allégués devant le SEM et donc faire partie de leur cause. Toutefois, dès lors qu'ils ont admis avoir inventé des motifs d'asile par-devant le SEM et allégué des faits qui ne correspondent pas à la réalité, les moyens qui sous-tendent ces motifs construits de toute pièce sont étrangers à leur cause. Tel est le cas de la pièce précitée qui n'a donc pas à leur être remise pour consultation.</w:t>
      </w:r>
    </w:p>
    <w:p>
      <w:r>
        <w:rPr>
          <w:b/>
        </w:rPr>
        <w:t>E. 3.2.2</w:t>
      </w:r>
    </w:p>
    <w:p>
      <w:r>
        <w:t>S'agissant des pièces A14/6 et A18/3 (deux lettres anonymes avec leurs annexes), le SEM ne les a à juste titre pas transmises à consultation, compte tenu des intérêts privés importants qu'il s'agit de ménager. En effet, leur remise aurait permis d'identifier qui en était l'auteur non seulement compte tenu du style de rédaction, mais encore de la langue utilisée et des initiales qui figurent sur l'une d'entre elles. Le SEM a donc fait une juste application de l'art. 28 PA, en informant les intéressés du contenu de ces lettres et en leur accordant le droit d'être entendu (cf. pièce A21/3) et un délai pour faire valoir leurs observations.</w:t>
      </w:r>
    </w:p>
    <w:p>
      <w:r>
        <w:rPr>
          <w:b/>
        </w:rPr>
        <w:t>E. 3.2.3</w:t>
      </w:r>
    </w:p>
    <w:p>
      <w:r>
        <w:t>Au vu de ce qui précède, le grief fait au SEM d'avoir violé le droit à la consultation des pièces A14/6, A18/3 et A/29 est mal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 2008/12 consid. 5.1 p. 154).</w:t>
      </w:r>
    </w:p>
    <w:p>
      <w:r>
        <w:rPr>
          <w:b/>
        </w:rPr>
        <w:t>E. 4.5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5.1</w:t>
      </w:r>
    </w:p>
    <w:p>
      <w:r>
        <w:t>Force est de constater, d'abord, que les raisons avancées pour expliquer l'apparition des « véritables » motifs d'asile au stade du recours et non pas dès le dépôt des demandes d'asile, ne trouvent aucun ancrage dans le dossier. En effet, les intéressés soutiennent que la honte, le déshonneur, l'humiliation et la peur ressentis à l'évocation de leurs véritables motifs d'asile - et des traumatismes qui en seraient résultés - expliquent leur impossibilité à les invoquer par-devant le SEM. Toutefois, une telle impossibilité ne transparaît ni des procès-verbaux d'audition, ni de prises de position adressées au SEM dans le cadre de l'instruction des demandes d'asile, instruction qui a duré pratiquement trois ans. Il ne fait aucun doute qu'ils auraient sollicité une aide médicale sans tarder après leur arrivée en Suisse si, du fait des traumatismes allégués, ils avaient nécessité un suivi médical. Or, ce n'est qu'en janvier 2014, pour l'époux, respectivement en octobre 2015, pour l'épouse, qu'ils ont fait appel à un médecin et suivi un traitement.</w:t>
      </w:r>
    </w:p>
    <w:p>
      <w:r>
        <w:rPr>
          <w:b/>
        </w:rPr>
        <w:t>E. 5.2</w:t>
      </w:r>
    </w:p>
    <w:p>
      <w:r>
        <w:t>Force est de constater ensuite que les motifs d'asile apparus au stade du recours n'apparaissent pas crédibles. En effet, le divorce ayant été prononcé en date du 12 novembre 2003, le Tribunal ne s'explique pas ce qui peut étayer la thèse selon laquelle l'ex-mari de la recourante aurait trouvé un intérêt à s'en prendre à eux neuf ans après. Ceci est d'autant plus incompréhensible que les intéressés n'ont jamais invoqué avoir rencontré des problèmes avec celui-ci jusqu'en 2012, alors qu'il aurait eu tout le loisir de leur causer des préjudices dès leur mariage, en mai 2006. De plus, selon l'acte produit, le divorce a été prononcé par consentement mutuel. L'épouse a renoncé à sa dot, à tous les autres droits résultant du mariage et à toute revendication, ce que l'époux a accepté. Les raisons de s'en prendre à elle par la suite sont obscures. S'agissant de l'attestation de la sage-femme censée démontrer un saignement anormal en raison d'un rapport sexuel, elle n'a pas de valeur probante, dès lors qu'elle a été rédigée le 10 octobre 2015, soit trois ans après la visite médicale. Il ne s'agit donc pas d'un document établi par la personne qui a pris en charge la recourante et dans les conditions décrites, comme l'aurait attesté un document rédigé au moment des faits. Dite attestation mentionne une grossesse à terme de huit semaines, ce qui présagerait une naissance en octobre 2012, la visite médicale ayant eu lieu en août 2012. Cette interprétation est renforcée par la durée de repos de deux mois prescrite, soit jusqu'à la naissance prévue. Or, l'enfant étant né en (...), ce document n'est pas compatible avec les affirmations des intéressés. L'argumentation selon laquelle il s'agit d'un malentendu dû à une mauvaise traduction ne convainc pas puisqu'ils ont fourni eux-mêmes cette attestation et sa traduction. De surcroit, si les intéressés avaient été réellement recherchés, ils n'auraient pas pu quitter l'Iran grâce à leurs passeports, munis de visas italiens. L'enquête a démontré, d'une part, que les photocopies des passeports transmises au SEM correspondaient à des documents authentiques, délivrés à E._______ F._______ et à G._______ H._______ et, d'autre part, que les actes de naissance produits avaient subi des manipulations concernant non seulement les prénoms (A._______ et B._______ en lieu et place de E._______ et G._______), mais encore le nom de famille de la recourante (H._______ modifié en B._______). Enfin, n'apparaît pas crédible non plus l'affirmation selon laquelle le passeur aurait aidé les intéressés à venir en Suisse, leur donnant même des conseils au cours de leur procédure d'asile et contractant à son nom un abonnement « Swisscom » en leur faveur (cf. annexe n° 7 du dossier), alors que, dans le même temps, il aurait collaboré avec les autorités iraniennes et, notamment, l'ex-mari de la recourante (cf. acte de recours, art. 7 à 10, p. 5 s.).</w:t>
      </w:r>
    </w:p>
    <w:p>
      <w:r>
        <w:rPr>
          <w:b/>
        </w:rPr>
        <w:t>E. 6</w:t>
      </w:r>
    </w:p>
    <w:p>
      <w:r>
        <w:t>Les motifs antérieurs au départ du pays d'origine n'étant pas crédibles dans la mesure où les recourants ont inventé de toute pièce ceux invoqués en première instance et où ceux apparus en instance de recours ne remplissent pas les conditions de vraisemblance de l'art. 7 LAsi, rien ne justifie le renvoi de la cause au SEM pour instruction complémentaire.</w:t>
      </w:r>
    </w:p>
    <w:p>
      <w:r>
        <w:rPr>
          <w:b/>
        </w:rPr>
        <w:t>E. 7.1</w:t>
      </w:r>
    </w:p>
    <w:p>
      <w:r>
        <w:t>Il reste à examiner si, en raison de la conversion des recourants à la communauté des Baha'is, intervenue en Suisse, la crainte des intéressés d'être exposés à de sérieux préjudices en cas de renvoi en Iran pour des motifs subjectifs postérieurs à leur départ est fondée au sens de l'art. 3 LAsi.</w:t>
      </w:r>
    </w:p>
    <w:p>
      <w:r>
        <w:rPr>
          <w:b/>
        </w:rPr>
        <w:t>E. 7.2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de la loi fédérale du 16 décembre 2005 sur les étrangers (RS 142.20,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7.3</w:t>
      </w:r>
    </w:p>
    <w:p>
      <w:r>
        <w:t>En l'occurrence, il est établi à satisfaction de droit que les recourants ont adhéré à la communauté baha'ie en (...) 2016. Au vu des documents produits les 21 avril, 1er et 28 juillet, 10 août, 23 novembre et 7 décembre 2016, le Tribunal ne peut pas exclure le risque que cette conversion et les activités des intéressés au sein de la communauté en question ne soient parvenues à la connaissance des autorités iraniennes.</w:t>
      </w:r>
    </w:p>
    <w:p>
      <w:r>
        <w:rPr>
          <w:b/>
        </w:rPr>
        <w:t>E. 7.4</w:t>
      </w:r>
    </w:p>
    <w:p>
      <w:r>
        <w:t>Dans l'ATAF 2009/28, le Tribunal a examiné la situation des minorités religieuses en Iran, dont celle des membres de la communauté baha'ie (cf. consid. 7.3.2.2). Non seulement, ceux-ci ne sont pas officiellement reconnus comme une minorité religieuse, contrairement aux chrétiens, aux juifs et aux zoroastriens, mais encore, la communauté baha'ie est considérée comme une hérésie par le clergé chiite. Ses membres sont soumis quotidiennement à toutes sortes de répressions étatiques (par exemple, expropriation, arrestation arbitraire, campagne haineuse dans les médias). Selon la pratique suisse en matière d'asile, les Baha'is sont soumis à une persécution collective (cf. WALTER KÄLIN, Grundriss des Asylverfahrens, Basel/Frankfurt a. M. 1990, p. 78 ; jugement de la Commission suisse de recours en matière d'asile (CRA) du 14 novembre 1997 dans la cause S. C.G.A., Nigéria). Leur situation ne s'est pas améliorée actuellement (cf. https://www.bic.org/focus-areas/situation-iranian-bahais/current-situation#ZZOLPLU6toTArrli.97; « situation of human rights in the Islamic Republic of Iran », Report of the Secretary-General of United Nations du 6 septembre 2016, H, p. 15 à 17 ; http://www.ohchr.org/EN/Countries/AsiaRegion/Pages/IRIndex.aspx, consulté le 22 novembre 2016). Récemment, même la fille d'un ayatollah a connu des problèmes suite à sa rencontre avec une représentante de la communauté baha'ie (cf. http://www.nytimes.com/2016/05/19/world/middleeast/iran-bahais-kamalabadi-hashemi-meeting.html?_r=0, consulté le 22 décembre 2016).</w:t>
      </w:r>
    </w:p>
    <w:p>
      <w:r>
        <w:rPr>
          <w:b/>
        </w:rPr>
        <w:t>E. 7.5</w:t>
      </w:r>
    </w:p>
    <w:p>
      <w:r>
        <w:t>Dans ces circonstances, les intéressés peuvent légitimement craindre de sérieux préjudices en cas de retour en Iran. Leur crainte est ainsi fondée au sens de l'art. 3 LAsi, de sorte que la qualité de réfugié doit leur être reconnue. L'exécution de leur renvoi est illicite au sens de l'art. 83 al. 3 LEtr dès lors qu'ils peuvent se prévaloir de principe de non-refoulement de l'art. 5 al. 1 LAsi. Ils sont toutefois exclus de l'asile par application de l'art. 54 LAsi.</w:t>
      </w:r>
    </w:p>
    <w:p>
      <w:r>
        <w:rPr>
          <w:b/>
        </w:rPr>
        <w:t>E. 8</w:t>
      </w:r>
    </w:p>
    <w:p>
      <w:r>
        <w:t>Le recours doit donc être partiellement admis, les chiffres 1, 4 et 5 de la décision entreprise annulés, le SEM étant invité à reconnaître la qualité de réfugié des intéressés et à les mettre au bénéfice d'une admission provisoire pour cause d'illicéité de l'exécution du renvoi.</w:t>
      </w:r>
    </w:p>
    <w:p>
      <w:r>
        <w:rPr>
          <w:b/>
        </w:rPr>
        <w:t>E. 9</w:t>
      </w:r>
    </w:p>
    <w:p>
      <w:r>
        <w:t>Les recourants ayant partiellement succombé, des frais réduits de procédure sont mis à leur charge, conformément aux art. 63 al. 1 PA et 2 et 3 let. b du règlement du 21 février 2008 concernant les frais, dépens et indemnités fixés par le Tribunal administratif fédéral (FITAF, RS 173.320.2). Leur montant de 600 francs tient compte de l'absence de tout argument sérieux relatif à l'apparition de nouveaux motifs d'asile au stade du recours et de moyen propre à les étayer.</w:t>
      </w:r>
    </w:p>
    <w:p>
      <w:r>
        <w:rPr>
          <w:b/>
        </w:rPr>
        <w:t>E. 10</w:t>
      </w:r>
    </w:p>
    <w:p>
      <w:r>
        <w:t>Dans la mesure où les recourants obtiennent partiellement gain de cause, ils peuvent prétendre à des dépens réduits (cf. art. 7 al. 2 FITAF). En l'absence de relevé de prestations, il se justifie de leur allouer ex aequo et bono, le montant de 500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