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D-6175/2014 vom 6. Januar 2017</w:t>
      </w:r>
    </w:p>
    <w:p>
      <w:r>
        <w:t>Bundesverwaltungsgericht, 2017-01-06, DE</w:t>
      </w:r>
    </w:p>
    <w:p>
      <w:r>
        <w:rPr>
          <w:b/>
        </w:rPr>
        <w:t xml:space="preserve">Quelle: </w:t>
      </w:r>
      <w:r>
        <w:t>https://mcp.opencaselaw.ch/entscheid/bvger_D-6175_2014</w:t>
      </w:r>
    </w:p>
    <w:p>
      <w:r>
        <w:t>FR: TAF D-6175/2014 du 6 janvier 2017</w:t>
      </w:r>
    </w:p>
    <w:p>
      <w:r>
        <w:t>IT: TAF D-6175/2014 del 6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und im Bereich des Ausländerrechts nach Art. 49 VwVG (vgl. BVGE 2014/26 E. 5).</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2010/57 E. 2.3 S. 826 f.).</w:t>
      </w:r>
    </w:p>
    <w:p>
      <w:r>
        <w:rPr>
          <w:b/>
        </w:rPr>
        <w:t>E. 3</w:t>
      </w:r>
    </w:p>
    <w:p>
      <w:r>
        <w:t>Der Beschwerdeführer machte in seiner Beschwerde im Wesentlichen geltend, nicht nachvollziehen zu können, dass das BFM seine Aussagen für unglaubhaft halte und ihm vorwerfe, seine Schilderung der Beziehung mit seiner Freundin weise keine Realkennzeichen auf. Nach erneuten Ausführungen zur Beziehung mit seiner Freundin und Erklärungen zum Leben in seinem Dorf in Afghanistan legte er dar, das BFM könne nicht verstehen, dass sie ein so verbotenes aussereheliches Treffen trotz der zu erwartenden Konsequenzen durchgeführt hätten. Es übersehe dabei jedoch, dass es in der Natur des Menschen liege, solche Verbote zu umgehen. Da aber ausser einigen recht kurzen Gesprächen nichts geschehen sei - sie hätten sich nicht einmal geküsst oder unsittlich berührt - sei es nicht verwunderlich, wenn seine Schilderung nicht ausschweifend gewesen sei. Er habe wissen wollen, ob sie ihn möge, ob er Chancen bei ihr hätte, und sie sei ihm nicht abgeneigt gewesen, sie habe sich vorstellen können, ihn zu heiraten. Das BFM wundere sich, dass er sich für das Schicksal seiner Freundin nicht sonderlich interessiere. Es sei so, dass er schon ein schlechtes Gewissen habe, weil sie nun keinen Mann mehr finde und ihr Ruf beschädigt sei. Aber er gebe zu, er habe sie nicht wirklich gekannt und irgendwie sei sie ja selbst auch schuld. Sie hätte nicht mit ihm sprechen dürfen und habe gewusst, dass sich dies nicht gehöre. Er hätte sie aber geheiratet, obwohl sie mit ihm gesprochen habe. Er habe unbedingt eine Frau heiraten wollen, die ihm gefalle, aber nach dem Vorfall werde diese Familie sie ihm nicht mehr zur Frau geben. Es sei nicht so, dass er keine Gefühle für diese Frau hege, sie habe ihm gefallen, er habe sich in sie verliebt, habe sie aber nicht so gut gekannt. Bei einer Rückkehr nach Afghanistan würde ihn ihre Familie umbringen. Der Staat würde ihn nicht beschützen. In Bezug auf sein Facebook-Profil brachte der Beschwerdeführer neben den bereits mit Stellungnahme vom 15. September 2014 gemachten Ausführungen im Wesentlichen vor, das BFM glaube seinen Aussagen nicht, da er ein Konto auf Google Plus habe. Sein Freund P._______ habe es für ihn eingerichtet. Er mache dies auch für andere Afghanen. Sie bräuchten das Google Plus-Konto, um Musikvideos herunterzuladen und um zu telefonieren. Sein Freund sei gerne bereit, dies zu bestätigen. Er (der Beschwerdeführer) könne es nicht so genau erklären, was Google Plus alles sonst machen könne und wie es funktioniere, weil er es nicht genau verstehe. P._______ helfe ihm dabei und zeige ihm, welche Symbole er berühren müsse. Es gebe sicher noch andere Personen, die keine Schulbildung hätten und Analphabeten seien, die die neuen Medien auf diese Weise benützen könnten. Zur Zumutbarkeit des Wegweisungsvollzugs machte er im Wesentlichen geltend, es sei bekannt, dass die Profile im Facebook auch falsche Informationen enthalten würden und sich die Menschen oft besser, gebildeter und reicher darstellten, als sie tatsächlich seien. Es gebe eine Welt des Facebooks und eine reale Welt. Er müsse in die reale Welt zurückkehren. In der realen Welt sei er ein Bauer, ohne Bildung, aus einem kleinen Dorf in einer Provinz, in der es gefährlich sei zu leben. Er habe nicht in Kabul oder Mazar-i-Sharif studiert und sei nur auf seiner Flucht durch Kabul durchgereist, auch habe er dort kein Beziehungsnetz. Nur weil er Facebook-Kontakte aus Kabul habe, bedeute dies nicht, dass er auch bei ihnen wohnen könne. Sein Freund P._______ habe für ihn ein Google Plus-Konto eröffnet und das Facebook-Konto gelöscht. Im Weiteren sei es schwierig, seine Familie zu erreichen. Sie selbst hätten kein Telefon. Er habe mit seiner Mutter sprechen können, sie sei dafür nach I._______ gegangen und habe sich eine Tazkira seines Vaters besorgt. Für seine Mutter sei dies sehr schwer zu organisieren gewesen. Für weitere Einzelheiten wird auf die Beschwerdeeingabe in den Akten verwiesen.</w:t>
      </w:r>
    </w:p>
    <w:p>
      <w:r>
        <w:rPr>
          <w:b/>
        </w:rPr>
        <w:t>E. 4.1</w:t>
      </w:r>
    </w:p>
    <w:p>
      <w:r>
        <w:t>Den ausführlichen Erwägungen des BFM ist nach Prüfung der Akten zuzustimmen, weshalb vorab auf diese zu verweisen ist. Die Ausführungen in der Beschwerde sind nicht geeignet, diese zu entkräften. Nach Durchsicht der Akten müssen die Aussagen des Beschwerdeführers allgemein als oberflächlich, substanzlos, teilweise ausweichend und ohne Realkennzeichen bezeichnet werden. Es erscheint als unwahrscheinlich, dass sich der Beschwerdeführer nach dem Vorfall mit dem Bruder seiner Freundin noch zu Hause und in der Nähe seiner angeblichen Verfolger aufgehalten habe, bis ihn "jemand" beziehungsweise ein Freund seines Vaters mit dem Motorrad weggefahren habe. Im Übrigen wurde das Alter seines angeblich "ungefähr (...)-jährigen Vaters" durch die Abgabe der angeblichen Tazkira von ihm relativiert, in welcher ein Alter von (...) Jahren aufgeführt ist. Zu diesem doch beträchtlichen Altersunterschied wird lediglich ausgeführt, dass die durchschnittliche Lebenserwartung in Afghanistan bei 48.66 Jahren liege, weshalb sein Vater für afghanische Verhältnisse trotzdem sehr alt sei. Der Beschwerdeführer führte im Weiteren aus, die schlichtende Person sei wie er selber Sunnite gewesen und "man" könnte deshalb angenommen haben, dass er ihm (und nicht dem Bruder der Freundin, der Schiite sei) deshalb geholfen habe. Sunniten und Schiiten befänden sich in Afghanistan nach wie vor im Streit (vgl. act. A19/24 S. 8). Es ist deshalb schwer nachvollziehbar, dass der Beschwerdeführer des Mordes am Passanten beschuldigt worden sein soll, wenn angenommen werden könnte, dass dieser ihm und nicht einem Schiiten geholfen habe. Die angeblichen "guten Beziehungen" der Familie zu Behörden, was ihm eine innerstaatliche Aufenthaltsalternative verunmöglicht haben soll, wurden weder substantiiert noch nachvollziehbar dargelegt. Den vorerst geltend gemachten Reichtum dieser Familie musste der Beschwerdeführer im Verlauf der Anhörung denn auch relativieren. Auch gab er zunächst zu Protokoll, nie Probleme mit Behörden gehabt zu haben, und will zunächst nur von den Familienangehörigen des Verstorbenen sowie seiner Freundin gesucht worden sein, wohingegen er die angebliche Suche nach ihm im Verlauf der Anhörung dahingehend ausbaute, dass nun auch Behördenmitglieder ihn suchen sollen. Das Aussageverhalten des Beschwerdeführers lässt im Allgemeinen nicht darauf schliessen, dass dieser begründete Furcht vor Verfolgung hat, basiert diese im Übrigen lediglich auf Annahmen und Vermutungen, welche weder substantiiert noch nachvollziehbar dargelegt wurden.</w:t>
      </w:r>
    </w:p>
    <w:p>
      <w:r>
        <w:rPr>
          <w:b/>
        </w:rPr>
        <w:t>E. 4.2</w:t>
      </w:r>
    </w:p>
    <w:p>
      <w:r>
        <w:t>Im Weiteren führte der Beschwerdeführer aus, er habe davon abgesehen, in D._______ zu bleiben, da er Angst davor gehabt habe, dass man jemanden bezahlen und auf ihn ansetzen würde, um ihn zu töten (vgl. act. A19/24 S. 19 F137). Diese Aussage ergibt jedoch keinen Sinn, da er sich eigenen Aussagen zufolge ungefähr drei Jahre in D._______ aufhielt. Dort konnte er sich einen afghanischen Pass beschaffen, erhielt eine S._______ und danach einen für zwei Jahre gültigen Aufenthaltstitel (...). Der Beschwerdeführer führte in Bezug auf seinen Pass aus, er habe diesen durch die afghanische Botschaft in T._______ erhalten, ein Konsul komme jeweils einmal im Monat von U._______ nach M._______. Mit diesem Pass sei er mit einer unbekannten Airline beziehungsweise mit der V._______ nach E._______ geflogen (vgl. act. A7/13 S. 6). Zur Passbeschaffung und zur angeblichen Verfolgung durch die heimatlichen Behörden ist anzumerken, dass die für Art. 1 Bst. C Ziff. 1 des Abkommens vom 28. Juli 1951 über die Rechtsstellung der Flüchtlinge (FK, SR 0.142.30) entwickelten Kriterien in analoger Weise heranzuziehen sind. So stellt die Kontaktnahme mit den Behörden des Heimatstaates zwecks Passbeschaffung einen Tatbestand dar, der grundsätzlich als "Unterschutzstellung" bezeichnet werden kann (vgl. BVGE 2011/28 E. 3.3.2; Entscheidungen und Mitteilungen der Schweizerischen Asylrekurskommission [EMARK] 1998 Nr. 29 E. 3, je m.w.H.). Wenn ein Flüchtling einen Pass des Landes, dessen Staatsangehörigkeit er besitzt, beantragt und erhält, so lässt dies darauf schliessen, dass er die Absicht hat, den Schutz des Landes seiner Staatsangehörigkeit in Anspruch zu nehmen, es sei denn, er kann Beweise vorbringen, die diese Annahme widerlegen (vgl. UNHCR, Handbuch über Verfahren und Kriterien zur Feststellung der Flüchtlingseigenschaft, Genf 1979, Neuauflage: UNHCR Österreich 2003, Rz. 121). Dabei mag ein Flüchtling diese Handlung in der Absicht vorgenommen haben, entweder in sein Land zurückzukehren oder den Schutz seines Herkunftslandes in Anspruch zu nehmen, jedoch weiterhin ausserhalb dieses Landes zu bleiben. Entscheidend ist indessen, dass er mit dem Erhalt eines solchen Dokumentes normalerweise aufhört, ein Flüchtling zu sein (vgl. UNHCR-Handbuch, a.a.O., Rz. 123).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Ausländerrecht, 2. Aufl., Basel 2009, Rz. 11.28; vgl. auch BVGE 2011/28 E. 3.3.2 m.w.H.). Der Umstand, dass sich der Beschwerdeführer während seiner angeblichen Flucht einen Pass von den heimatlichen Behörden ausstellen liess, lässt vermuten, dass auf seiner Seite keine Furcht vor Verfolgung besteht und auf Seiten des Staates keine Verfolgungsabsicht vorhanden ist, zumal es sich bei einer Passausstellung in der Regel um eine der Flüchtlingseigenschaft zuwiderlaufende Unterschutzstellung im Sinne von Art. 63 Abs. 1 Bst. b AsylG in Verbindung mit Art. 1 C Ziff. 1 FK, also eine Inanspruchnahme des Schutzes des angeblichen Verfolgungsstaates, handelt. Der Beschwerdeführer macht in diesem Zusammenhang nicht geltend, er sei gezwungen worden, sich einen Pass ausstellen zu lassen. Es bleibt allerdings festzustellen, dass in Anbetracht der dargestellten Folgen einer Ausstellung von Identitätspapieren durch die heimatlichen Behörden nicht nachvollziehbar ist, weshalb das BFM den Beschwerdeführer darauf hinwies, sich zwecks Papierbeschaffung ans Konsulat wenden zu können (vgl. act. A19/24 S. 22). Da sich der Beschwerdeführer - soweit bekannt - in der Schweiz während des hängigen Asylverfahrens keine Identitätspapiere durch seine heimatliche Vertretung ausstellen liess, ist auf das Vorgehen der Vorinstanz nicht weiter einzugehen. In Bezug auf die Ausführungen zum Facebook-Konto ist festzuhalten, dass die Erklärungsversuche des Beschwerdeführers weder in der Stellungnahme noch auf Beschwerdeebene zu überzeugen vermögen, zumal nicht nachvollziehbar ist, weshalb auf Facebook ein falscher Werdegang aufgenommen worden sein soll.</w:t>
      </w:r>
    </w:p>
    <w:p>
      <w:r>
        <w:rPr>
          <w:b/>
        </w:rPr>
        <w:t>E. 4.3</w:t>
      </w:r>
    </w:p>
    <w:p>
      <w:r>
        <w:t>Aus dem Gesagten folgt, dass es dem Beschwerdeführer nicht gelungen ist, die Flüchtlingseigenschaft nachzuweisen oder zumindest glaubhaft zu machen. Die Ausführungen in der Beschwerde vermögen an dieser Einschätzung nichts zu ändern, weshalb darauf verzichtet werden kann, weiter darauf einzugehen. Das SEM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Bezüglich der allgemeinen Lage in Afghanistan hat das Gericht in BVGE 2011/7 festgestellt, dass in weiten Teilen des Landes eine derart schlechte Sicherheitslage herrsche und derart schwierige humanitäre Bedingungen bestehen würden, dass die Situation insgesamt als existenzbedrohend im Sinne von Art. 83 Abs. 4 AuG zu qualifizieren sei. Von dieser allgemeinen Feststellung sei indes die Situation in der Hauptstadt Kabul (BVGE 2011/7 insbes. E. 9.9.2), sowie in den Städten Mazar-i-Sharif (BVGE 2011/49 E. 7.3.6 und 7.3.7) und Herat (BVGE 2011/38 E. 4.3.1-4.3.3) zu unterscheiden. Der Vollzug dorthin könne als zumutbar erachtet werden, wenn es sich beim Rückkehrer um einen jungen, gesunden Mann handle, der dort über ein tragfähiges soziales Netz verfüge, das ihn bei der Heimkehr unterstützen könne (BVGE 2011/7 E. 9.9). Diese Praxis hat nach wie vor Gültigkeit (vgl. bspw. Urteile des BVGer E-719/2015 vom 20. Oktober 2016, D-946/2015 vom 7. September 2016, D-2086/2016 vom 11. Mai 2016, D-5168/2015 vom 16. November 2015, E-5014/2015 vom 28. Oktober 2015).</w:t>
      </w:r>
    </w:p>
    <w:p>
      <w:r>
        <w:rPr>
          <w:b/>
        </w:rPr>
        <w:t>E. 6.3.3</w:t>
      </w:r>
    </w:p>
    <w:p>
      <w:r>
        <w:t>Die Untersuchungspflicht der Asylbehörden hinsichtlich Zulässigkeit, Zumutbarkeit und Möglichkeit des Vollzugs nach Treu und Glauben findet ihre Grenzen an der Mitwirkungspflicht der Beschwerde führenden Person (Art. 8 AsylG), die im Übrigen auch die Substantiierungslast trägt (Art. 7 AsylG). Vorliegend ist der Beschwerdeführer offensichtlich nicht bereit, wahrheitsgemäss über seine persönliche und familiäre Situation im Heimatland Auskunft zu geben, auch steht seine Identität bis zum heutigen Tag nicht rechtsgenüglich fest. Die Behauptung des Beschwerdeführers, er habe seinen Rucksack mit unter anderem seinem Reisepass im Zug von K._______ nach L._______ liegen gelassen, erscheint realitätsfremd. Es ist indessen nicht Sache der Behörden, bei fehlenden, womöglich gezielt vorenthaltenen Hinweisen nach allfälligen Wegweisungsvollzugshindernissen in hypothetischen Herkunftsländern zu forschen (vgl. BVGE 2014/12 E. 5.9 und 6). Entzieht der Asylsuchende mit seinem Verhalten dem Gericht die für genauere Abklärungen erforderliche Grundlage, ist es nicht Sache der Beschwerdeinstanz, sich in Mutmassungen und Spekulationen zu ergehen. Der auf der eingereichten Tazkira seines angeblichen Vaters angefügte handschriftliche Vermerk auf der Rückseite, wonach Herr (...), der Nachkomme des (...) sei, und seine Geburt vom (...) im Dorf R._______ bestätigt wird, ist nicht geeignet, seine Identität rechtsgenüglich nachzuweisen, da eine Tazkira nicht fälschungssicher ist und ihr nur ein verminderter Beweiswert zukommt (vgl. BVGE 2013/30 E. 4.2.2). Gleiches gilt in Bezug auf den handschriftlichen Vermerk. Insbesondere lässt sich daraus nicht der Nachweis erbringen, dass der Beschwerdeführer sein ganzes Leben in R._______ beziehungsweise G._______ als einfacher Bauer verbracht haben soll, zumal aufgrund der Facebook-Eintragungen ein tragfähiger Bezug zu Kabul, wo er W._______ haben soll, nicht auszuschliessen ist. Im Übrigen konnte er sich eigenen Aussagen zufolge drei Jahre in einem ihm fremden Land (D._______) durchschlagen und verfügt auch in der Schweiz wieder über mindestens eine Bezugsperson, was auf eine gewisse Selbständigkeit schliessen lassen dürfte. Aufgrund dieser Ausführungen und der Tatsache, dass es ihm möglich war, die kostspielige Reise in die Schweiz sowie den mehrjährigen Aufenthalt in D._______ zu finanzieren, und er den grössten Teil seines Lebens in Afghanistan verbrachte, ist davon auszugehen, dass er nach der Rückkehr in sein Heimatland auf ein bestehendes soziales Netz zurückgreifen kann und nicht in eine existentielle Notlage fällt.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6.6</w:t>
      </w:r>
    </w:p>
    <w:p>
      <w:r>
        <w:t>Es ist im Weiteren nicht ersichtlich, weshalb die Sache zur Neubeurteilung an die Vorinstanz zurückgewiesen werden sein soll, weshalb der diesbezügliche Antrag abzuweisen ist.</w:t>
      </w:r>
    </w:p>
    <w:p>
      <w:r>
        <w:rPr>
          <w:b/>
        </w:rPr>
        <w:t>E. 7</w:t>
      </w:r>
    </w:p>
    <w:p>
      <w:r>
        <w:t>Aus diesen Erwägungen ergibt sich, dass die angefochtene Verfügung Bundesrecht nicht verletzt und auch sonst nicht zu beanstanden ist (Art. 106 Abs. 1 AsylG; Art.49 VwVG). Die Beschwerde ist abzuweisen.</w:t>
      </w:r>
    </w:p>
    <w:p>
      <w:r>
        <w:rPr>
          <w:b/>
        </w:rPr>
        <w:t>E. 8.1</w:t>
      </w:r>
    </w:p>
    <w:p>
      <w:r>
        <w:t>Mit dem Entscheid in der Hauptsache wird das Gesuch um Verzicht auf die Erhebung eines Kostenvorschusses gegenstandslos.</w:t>
      </w:r>
    </w:p>
    <w:p>
      <w:r>
        <w:rPr>
          <w:b/>
        </w:rPr>
        <w:t>E. 8.2</w:t>
      </w:r>
    </w:p>
    <w:p>
      <w:r>
        <w:t>Nach dem Gesagten ist das mit der Beschwerde gestellte Gesuch um Gewährung der unentgeltlichen Prozessführung abzuweisen, da die Begehren - wie sich aus den vorstehenden Erwägungen ergibt - als aussichtlos zu bezeichnen waren, weshalb die Voraussetzungen von Art. 65 Abs. 1 VwVG nicht erfüllt sind. Eine Bedürftigkeit wurde ohnehin nicht nachgewiesen. Daher ist auch dem Gesuch um Beigabe eines amtlichen Rechtsbeistands gemäss Art. 110a Abs. 1 AsylG nicht stattzugeben.</w:t>
      </w:r>
    </w:p>
    <w:p>
      <w:r>
        <w:rPr>
          <w:b/>
        </w:rPr>
        <w:t>E. 8.3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