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D-6170/2018 vom 19. August 2020</w:t>
      </w:r>
    </w:p>
    <w:p>
      <w:r>
        <w:t>Bundesverwaltungsgericht, 2020-08-19, FR</w:t>
      </w:r>
    </w:p>
    <w:p>
      <w:r>
        <w:rPr>
          <w:b/>
        </w:rPr>
        <w:t xml:space="preserve">Quelle: </w:t>
      </w:r>
      <w:r>
        <w:t>https://mcp.opencaselaw.ch/entscheid/bvger_D-6170_2018</w:t>
      </w:r>
    </w:p>
    <w:p>
      <w:r>
        <w:t>FR: TAF D-6170/2018 du 19 août 2020</w:t>
      </w:r>
    </w:p>
    <w:p>
      <w:r>
        <w:t>IT: TAF D-6170/2018 del 19 agosto 2020</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Le recourant n'ayant pas contesté la décision du SEM en matière d'asile et de renvoi, dans son principe, seule est litigieuse la question de l'exécution du renvoi.</w:t>
      </w:r>
    </w:p>
    <w:p>
      <w:r>
        <w:rPr>
          <w:b/>
        </w:rPr>
        <w:t>E. 1.6</w:t>
      </w:r>
    </w:p>
    <w:p>
      <w:r>
        <w:t>En cette matière,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w:t>
      </w:r>
    </w:p>
    <w:p>
      <w:r>
        <w:rPr>
          <w:b/>
        </w:rPr>
        <w:t>E. 2.1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 Si ces conditions ne sont pas réunies, l'admission provisoire doit être prononcée.</w:t>
      </w:r>
    </w:p>
    <w:p>
      <w:r>
        <w:rPr>
          <w:b/>
        </w:rPr>
        <w:t>E. 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2.5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p. 748, consid. 5.4). Dans le cas particulier, c'est sous l'angle de l'exigibilité de l'exécution que le Tribunal entend porter son examen.</w:t>
      </w:r>
    </w:p>
    <w:p>
      <w:r>
        <w:rPr>
          <w:b/>
        </w:rPr>
        <w:t>E. 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3.2</w:t>
      </w:r>
    </w:p>
    <w:p>
      <w:r>
        <w:t>Du point de vue médical,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w:t>
      </w:r>
    </w:p>
    <w:p>
      <w:r>
        <w:rPr>
          <w:b/>
        </w:rPr>
        <w:t>E. 3.3</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3.4.1</w:t>
      </w:r>
    </w:p>
    <w:p>
      <w:r>
        <w:t>Selon les sources à disposition du Tribunal, la Gambie ne connaît pas encore de système d'assurance maladie de base (cf. World Health Organisation, The Gambia : Country Cooperation Strategy at a Glance, Mai 2018, p. 1 ; European Asylum Support Office (EASO), The Gambia - Country Focus, Décembre 2017, p. 50). La population pourrait se voir doter d'une carte de sécurité sociale, mais seulement à la fin de l'année 2020 (cf.https://www.rfi.fr/fr/emission/20200105-gambie-vers-mise-place-regime-assurance-maladie, consulté le 28 juillet 2020). Cependant, les établissements hospitaliers gambiens présentent d'importants manques tant dans les domaines des structures, des équipements hospitaliers que des médicaments (cf. rapport EASO, op. cit. p. 49 et https://buschklinik.de/tag/gesundheit, consulté le 30 juillet 2020). Ainsi, les patients doivent souvent se procurer à leurs propres frais les médicaments qui sont pour la grande majorité de fabrication douteuse (cf. Schweizerische Flüchtlingshilfe, Gambia : Gesundheitsversorgung, Berne 19 août 2019, p. 7 s. et https://buschklinik.de, op. cit.).</w:t>
      </w:r>
    </w:p>
    <w:p>
      <w:r>
        <w:rPr>
          <w:b/>
        </w:rPr>
        <w:t>E. 3.4.2</w:t>
      </w:r>
    </w:p>
    <w:p>
      <w:r>
        <w:t>En l'espèce, selon le dernier rapport médical du D._______ du 29 juin 2020, le recourant présente un (...). Le traitement actuel est psychothérapeutique, soit deux consultations par mois, et psychopharmacologique, soit la prise de médicaments. Ces traitements doivent être poursuivis et évalués régulièrement jusqu'à l'amélioration et la stabilisation de son état psychique. Une interruption de ceux-ci aurait pour conséquence, selon les médecins consultés, une péjoration rapide de son état psychique et un risque important de décompensation psychique.</w:t>
      </w:r>
    </w:p>
    <w:p>
      <w:r>
        <w:rPr>
          <w:b/>
        </w:rPr>
        <w:t>E. 3.4.3</w:t>
      </w:r>
    </w:p>
    <w:p>
      <w:r>
        <w:t>Selon les pièces au dossier, le recourant a quitté la Gambie alors qu'il était mineur, sans avoir terminé la scolarité obligatoire ni avoir exercé d'activité lucrative (cf. procès-verbal d'audition [pv.] du 6 janvier 2017, pt. 1.17.04, p. 4 s. et pv. du 19 mai 2017, réponses aux questions 21 à 24, p. 3). L'absence de réseau familial ou social dont il a fait état lors de ses auditions n'a pas été mis en doute par le SEM, faute d'élément précis ni d'indice allant dans ce sens. Quant à ses conditions de vie et aux traumatismes qu'il a évoqués dans le cadre de l'instruction de sa demande de protection, ils sont soutenus par les nombreux documents médicaux produits. Ainsi, le certificat médical du 29 juin 2020 met en évidence que « sur le plan psychique, le patient présente des flashbacks (reviviscences caractérisées par des souvenirs répétitifs et envahissants des événements traumatiques vécus dans le passé, provoquant dans le présent un sentiment de détresse et comprenant des images, des pensées et des sensations de revivre ces événements traumatiques en boucle), des difficultés de concentration et d'attention sévère, des peurs et des angoisses importantes, un sentiment intense de détresse psychique lors de l'exposition à des indices internes ou externes évoquant les événements traumatiques vécus, (...), une hyper vigilance et un état anxiodépressif importants, ainsi qu'une réactivité physiologique lors de l'exposition à des indices internes ou externes pouvant évoquer ou ressembler à des aspects des événements traumatiques subis. L'ensemble de ces symptômes affecte sévèrement les fonctions psychiques et cognitives du patient ». Ces constats convainquent le Tribunal que l'intéressé a correctement décrit ses conditions de vie en Gambie, le décès de ses parents, la disparition de ses deux « pères » adoptifs, ainsi que l'absence de liens avec d'autres parents ou de proches dans son pays d'origine. Cela étant, vu l'absence de possibilité effective d'accès aux traitements et aux médicaments permettant à l'intéressé d'assurer le suivi dont il a absolument besoin pour éviter une dégradation rapide de son état de santé et un risque important de décompensation psychique en Gambie, vu aussi l'absence de proches pouvant lui apporter un soutien tant matériel que financier et les difficultés à accéder au marché du travail en raison de ses problèmes non seulement psychologiques, mais encore somatiques (cf. courrier du chirurgien orthopédiste des 27 septembre 2019), le Tribunal considère qu'en cas de retour, le recourant serait dans l'incapacité de recevoir les soins essentiels à son état de santé, ou de poursuivre le traitement commencé en Suisse, de sorte qu'il y a lieu d'admettre une mise en danger concrète de sa vie ou à une atteinte sérieuse, durable et notablement plus grave de son intégrité physique ou psychique.</w:t>
      </w:r>
    </w:p>
    <w:p>
      <w:r>
        <w:rPr>
          <w:b/>
        </w:rPr>
        <w:t>E. 3.5</w:t>
      </w:r>
    </w:p>
    <w:p>
      <w:r>
        <w:t>Au vu de ce qui précède, l'exécution du renvoi du recourant n'est actuellement pas raisonnablement exigible au sens de l'art. 83 al. 4 LEI. En l'absence de motif qui justifierait une application de l'art. 83 al. 7 LEI, le SEM est invité à régler les conditions de séjour de l'intéressé, conformément aux dispositions régissant l'admission provisoire.</w:t>
      </w:r>
    </w:p>
    <w:p>
      <w:r>
        <w:rPr>
          <w:b/>
        </w:rPr>
        <w:t>E. 3.6</w:t>
      </w:r>
    </w:p>
    <w:p>
      <w:r>
        <w:t>Le recours doit par conséquent être admis et les chiffres 4 et 5 de la décision attaquée, du 26 septembre 2018, annulés.</w:t>
      </w:r>
    </w:p>
    <w:p>
      <w:r>
        <w:rPr>
          <w:b/>
        </w:rPr>
        <w:t>E. 4</w:t>
      </w:r>
    </w:p>
    <w:p>
      <w:r>
        <w:t>Vu l'issue de la cause, il n'est pas perçu de frais (cf. art. 63 al. 1 et 2 PA).</w:t>
      </w:r>
    </w:p>
    <w:p>
      <w:r>
        <w:rPr>
          <w:b/>
        </w:rPr>
        <w:t>E. 5.1</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5.2</w:t>
      </w:r>
    </w:p>
    <w:p>
      <w:r>
        <w:t>En l'absence d'un décompte de prestations (cf. art. 14 al. 2 FITAF), et en tenant compte de l'activité déployée dans le cadre de la présente procédure de recours, des frais utiles et nécessaires à la défense du recourant, le Tribunal estime adéquat de lui allouer un montant de 720 francs,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