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D-616/2011 vom 14. März 2011</w:t>
      </w:r>
    </w:p>
    <w:p>
      <w:r>
        <w:t>Bundesverwaltungsgericht, 2011-03-14, DE</w:t>
      </w:r>
    </w:p>
    <w:p>
      <w:r>
        <w:rPr>
          <w:b/>
        </w:rPr>
        <w:t xml:space="preserve">Quelle: </w:t>
      </w:r>
      <w:r>
        <w:t>https://mcp.opencaselaw.ch/entscheid/bvger_D-616_2011</w:t>
      </w:r>
    </w:p>
    <w:p>
      <w:r>
        <w:t>FR: TAF D-616/2011 du 14 mars 2011</w:t>
      </w:r>
    </w:p>
    <w:p>
      <w:r>
        <w:t>IT: TAF D-616/2011 del 14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 die Beschwerdeführerin von der B.________ nicht zu ihren Asylgründen befragt. Sie konnte ihre Vorbringen indessen bereits in ihrem Asylgesuch und in deren Er­gänzungen schriftlich darlegen und dokumentieren und erhielt danach mit Zwischenverfügung des BFM vom 27. Juli 2010 Gelegenheit zur weiteren Konkretisierung ihrer Asylgründe; gleichzeitig wurde ihr auch das rechtliche Gehör im Hinblick auf die in Erwägung gezogene Abweisung des Asylgesuchs gewährt. Nach Ansicht des Bundesverwaltungsgerichts erscheint der entscheidwesentliche Sachverhalt - wie das BFM in seiner an­gefochtenen Verfügung zutreffend ausführt - angesichts der schriftlichen Darlegung und Dokumentierung der Asylgründe soweit erstellt, dass die entscheidrelevanten Elemente vorliegen. Das BFM hat den verfahrens­rechtlichen Anforderungen damit Genüge getan.</w:t>
      </w:r>
    </w:p>
    <w:p>
      <w:r>
        <w:rPr>
          <w:b/>
        </w:rPr>
        <w:t>E. 4.3</w:t>
      </w:r>
    </w:p>
    <w:p>
      <w:r>
        <w:t>Das BFM kann ein im Ausland gestelltes Asylgesuch ablehnen, wenn die asylsuchende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w:t>
      </w:r>
    </w:p>
    <w:p>
      <w:r>
        <w:t>Aus nachfolgenden Gründen ist die Einschätzung des BFM in der angefochtenen Verfügung, wonach sich aus den wesentlichen Vorbringen der Beschwerdeführerin, von einer unbekannten bewaffneten Gruppierung immer wieder behelligt zu werden, keine asylrelevante Gefährdungssituation der Beschwerdeführerin und ihrer Familie ergebe, zu bestätigen. Nach Praxis des Bundesverwaltungsgerichts gilt, dass neben der unmittelbaren staatlichen auch die nichtstaatliche Verfolgung grundsätzlich flüchtlingsrechtlich relevant ist. Nach dieser Schutztheorie (vgl. EMARK 2006 Nr. 18) hängt die flüchtlingsrechtliche Relevanz einer Verfolgung nicht von der Frage des Urhebers, sondern vom Vorhandensein eines adäquaten Schutzes durch den Heimatstaat ab (vgl. EMARK 2006 Nr. 18 E. 6.3.1 und 10.2.1). In diesem Sinne kommt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der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welchen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Rechts- und Justizsystem zu denken ist, das eine effektive Strafverfolgung ermöglicht. Im Weiteren muss die Inanspruchnahme eines solchen Schutzsystems der betroffenen Person objektiv zugänglich und individuell zumutbar sein. Mit der Vorinstanz ist festzuhalten, dass von der Schutzfähigkeit des srilankischen Staates auszugehen ist und daher grundsätzlich die Möglichkeit besteht, bei den zuständigen Behörden um Schutz vor Verfolgung seitens Dritter zu ersuchen. Vorliegend ergeben sich keine Anhaltspunkte auf eine Schutzunwilligkeit des srilankischen Staates, hat die Beschwerdeführerin doch im Rahmen des vorinstanzlichen Verfahrens nicht geltend gemacht, vergeblich um behördlichen Schutz ersucht zu haben. An dieser Einschätzung vermögen die nicht näher substanziierten Behauptungen in der Beschwerde, wonach es nicht möglich sei, um polizeilichen Schutz nachzusuchen, da man der Polizei nicht trauen könne, nichts zu ändern. Im Weiteren belegen die eingereichten Beweismittel lediglich einzelne Angaben der Beschwerdeführerin, welche vom BFM nicht in Zweifel gezogen worden sind. Zur Vermeidung von Wiederholungen kann auf die übrigen zutreffenden Erwägungen des BFM verwiesen werden, welche in der Beschwerde nicht entkräftet werden können. 6.Somit ist es der Beschwerdeführerin nicht gelungen, eine aktuelle Gefährdung im Sinne von Art. 3 AsylG aufzuzeigen, welche die Bewilligung der Ein­reise in die Schweiz rechtfertigen würde. Die Schutzbedürftigkeit der Beschwerdeführerin im Sinne von Art. 20 i.V.m. Art. 3 AsylG ist nicht gegeben. Im Übrigen ist auch eine Beziehungsnähe der Beschwerdeführerin zur Schweiz zu verneinen (Art. 52 Abs. 2 AsylG). Das BFM hat der Beschwerdeführerin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