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D-6165/2006 vom 21. Januar 2010</w:t>
      </w:r>
    </w:p>
    <w:p>
      <w:r>
        <w:t>Bundesverwaltungsgericht, 2010-01-21, FR</w:t>
      </w:r>
    </w:p>
    <w:p>
      <w:r>
        <w:rPr>
          <w:b/>
        </w:rPr>
        <w:t xml:space="preserve">Quelle: </w:t>
      </w:r>
      <w:r>
        <w:t>https://mcp.opencaselaw.ch/entscheid/bvger_D-6165_2006</w:t>
      </w:r>
    </w:p>
    <w:p>
      <w:r>
        <w:t>FR: TAF D-6165/2006 du 21 janvier 2010</w:t>
      </w:r>
    </w:p>
    <w:p>
      <w:r>
        <w:t>IT: TAF D-6165/2006 del 21 gennaio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600.--, sont mis à la charge des intéressés. Ils sont compensés par leur avance du même montant versée le (...).</w:t>
      </w:r>
    </w:p>
    <w:p>
      <w:r>
        <w:rPr>
          <w:b/>
        </w:rPr>
        <w:t>E. 3</w:t>
      </w:r>
    </w:p>
    <w:p>
      <w:r>
        <w:t>Le présent arrêt est adressé : au mandataire des intéressés (par courrier recommandé) à l'ODM, Division séjour, avec le dossier (...) (par courrier interne ; en copie) à la police des étrangers du canton H._______ (en copie) Le président du collège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