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D-6153/2019 vom 16. Januar 2020</w:t>
      </w:r>
    </w:p>
    <w:p>
      <w:r>
        <w:t>Bundesverwaltungsgericht, 2020-01-16, DE</w:t>
      </w:r>
    </w:p>
    <w:p>
      <w:r>
        <w:rPr>
          <w:b/>
        </w:rPr>
        <w:t xml:space="preserve">Quelle: </w:t>
      </w:r>
      <w:r>
        <w:t>https://mcp.opencaselaw.ch/entscheid/bvger_D-6153_2019</w:t>
      </w:r>
    </w:p>
    <w:p>
      <w:r>
        <w:t>FR: TAF D-6153/2019 du 16 janvier 2020</w:t>
      </w:r>
    </w:p>
    <w:p>
      <w:r>
        <w:t>IT: TAF D-6153/2019 del 16 gennaio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welche sich lediglich gegen die Dispositivziffern 1, 2 sowie 5 der vorinstanzlichen Verfügung richtet,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Die Beschwerdeführerin hatte im ordentlichen Asylverfahren geltend gemacht, sie heisse A._______, geboren am (...), und sei eritreische Staatsangehörige. Sie habe im Kindesalter zusammen mit ihrer Familie aus Eritrea ausreisen müssen, weil ihr Vater Geheimnisverrat begangen habe und deswegen gesucht worden sei. In der Folge habe sie zehn Jahre lang im Jemen gelebt und sei dort einmal Opfer einer Vergewaltigung geworden. Anschliessend habe sie zunächst als Reinigungskraft in Libyen gearbeitet und sei sodann im Oktober 2013 in die Schweiz gelangt. Das Bundesverwaltungsgericht befasste sich bereits im Rahmen des Beschwerdeverfahrens gegen den ablehnenden Asylentscheid mit den Vorbringen der Beschwerdeführerin und stellte dazu in seinem Urteil vom 18. März 2016 fest, es sei der Beschwerdeführerin nicht gelungen, ihre angebliche eritreische Staatsangehörigkeit glaubhaft zu machen, und auch die von ihr geltend gemachten Fluchtgründe und Lebensumstände seien aufgrund ihrer substanzlosen, ausweichenden und teilweise widersprüchlichen Angaben als unglaubhaft zu bezeichnen. Es sei nicht Sache der Behörden, nach etwaigen Wegweisungsvollzugshindernissen in hypothetischen Herkunftsländern zu forschen, und die Beschwerdeführerin habe demnach insofern die Folgen ihrer fehlenden Mitwirkung zu tragen, als seitens der Asylbehörden der Schluss gezogen werden müsse, es spreche nichts gegen eine Rückkehr an den bisherigen Aufenthaltsort.</w:t>
      </w:r>
    </w:p>
    <w:p>
      <w:r>
        <w:rPr>
          <w:b/>
        </w:rPr>
        <w:t>E. 6.2</w:t>
      </w:r>
    </w:p>
    <w:p>
      <w:r>
        <w:t>In ihrem Wiedererwägungsgesuch sowie in der aktuellen Beschwerde bringt die Beschwerdeführerin nun vor, sie habe im ordentlichen Asylverfahren falsche Angaben zu ihrer Identität gemacht. In Tat und Wahrheit heisse sie B._______, sei am (...) geboren worden und besitze die äthiopische Staatsangehörigkeit. Sie habe ihre Erlebnisse wahrheitsgetreu geschildert, jedoch bisher verschwiegen, dass sie mit ungefähr 13 Jahren von einem Onkel vergewaltigt worden sei und von ihrer Familie in diesem Zusammenhang keine Unterstützung erfahren habe. Sie habe ihre Identität geändert, um dieses Erlebnis zu vergessen. Sie leide seit ihrer Kindheit an psychischen Problemen, aktuell an einer mittelschweren depressiven Episode, einer komplexen posttraumatischen Belastungsstörung, einer Traumafolgestörung, einer andauernden Persönlichkeitsstörung sowie an einer Panikstörung (vgl. dazu den Arztbericht vom 16. August 2018). Sie werde in der Schweiz durch eine Psychiaterin mittels Gesprächstherapie behandelt, wolle aber keine Psychopharmaka einnehmen. Der Vollzug der Wegweisung nach Äthiopien sei unzumutbar, da die psychiatrische Versorgung in Äthiopien mangelhaft sei und ein Abbruch der psychiatrischen Behandlung zu weiteren gesundheitlichen Beeinträchtigungen führen würde. Ausserdem wäre sie in Äthiopien auf sich alleine gestellt, da sie dort nicht auf ein familiäres Beziehungsnetz zurückgreifen könnte.</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In Bezug auf die Geltendmachung von Wegweisungshindernissen gilt gemäss ständiger Praxis des Bundesverwaltungsgerichts der gleiche Beweisstandard wie bei der Flüchtlingseigenschaft, das heisst, sie sind zu bewiesen, wenn der strikte Beweis möglich ist, und andernfalls wenigstens glaubhaft zu machen (BVGE 2011/24 E. 10.2, m.w.H.).</w:t>
      </w:r>
    </w:p>
    <w:p>
      <w:r>
        <w:rPr>
          <w:b/>
        </w:rPr>
        <w:t>E. 8.1</w:t>
      </w:r>
    </w:p>
    <w:p>
      <w:r>
        <w:t>Aufgrund der Aktenlage ist festzustellen, dass die Beschwerdeführerin - wie sie selber einräumt - im Verlauf des bisherigen Asylverfahrens unglaubhafte Angaben zu ihrer Herkunft und ihren Fluchtgründen gemacht hat. Auch im heutigen Zeitpunkt ist ihre tatsächliche Herkunft respektive Staatsangehörigkeit weiterhin ungesichert, da sie nach wie vor keine rechtsgenüglichen und beweistauglichen Identitätsdokumente eingereicht hat. Weder bei der Geburtsurkunde noch dem Kebele-Ausweis oder den Schulzertifikaten handelt es sich um rechtsgenügliche Identitätsdokumente im Sinne von Art. 8 Abs. 1 Bst. b AsylG. Im Weiteren fällt auf, dass die Geburtsurkunde offenbar am 18. Januar 2017 und der Einwohner- beziehungsweise Kebele-Ausweis am 30. Januar 2018 (äthiopischer Kalender: 22.05.2010) ausgestellt wurden. Zu diesen Zeitpunkten war die Beschwerdeführerin jedoch offensichtlich nicht in Äthiopien wohnhaft, sondern hielt sich in der Schweiz auf. Es ist somit nicht nachvollziehbar, wie sie in den Besitz dieser Dokumente gelangt ist, zumal insbesondere der Einwohnerausweis nur persönlich vor Ort beantragt werden kann (vgl. dazu den Bericht zur D-A-CH Fact Finding Mission Äthiopien/Somaliland vom Mai 2010, S. 28). Ferner ist zu berücksichtigen, dass es bekanntlich einfach ist, sich derartige Dokumente zu erschleichen oder gefälschte äthiopische Dokumente auf dem Schwarzmarkt zu erwerben (vgl. a.a.O., S. 31). Der Beschwerdeführerin ist es aus diesen Gründen nicht gelungen, die im Wiedererwägungsverfahren neu geltend gemachte äthiopische Staatsangehörigkeit glaubhaft zu machen.</w:t>
      </w:r>
    </w:p>
    <w:p>
      <w:r>
        <w:rPr>
          <w:b/>
        </w:rPr>
        <w:t>E. 8.2</w:t>
      </w:r>
    </w:p>
    <w:p>
      <w:r>
        <w:t>Im Weiteren sind auch die Aussagen der Beschwerdeführerin in Bezug auf das angeblich fehlende Beziehungsnetz zu bezweifeln. Sie bringt dabei vor, sie habe keinen Kontakt mehr zu ihren Eltern und wäre bei einer Rückkehr ins Heimatland auf sich alleine gestellt. Diese Behauptung ist jedoch völlig unsubstanziiert ausgefallen. Ausserdem weist der Umstand, dass offensichtlich jemand der Beschwerdeführerin die nachträglich eingereichten Dokumente beschafft und zugeschickt hat, auf ein weiterhin bestehendes Beziehungsnetz hin.</w:t>
      </w:r>
    </w:p>
    <w:p>
      <w:r>
        <w:rPr>
          <w:b/>
        </w:rPr>
        <w:t>E. 8.3</w:t>
      </w:r>
    </w:p>
    <w:p>
      <w:r>
        <w:t>Wie bereits im Beschwerdeurteil vom 18. März 2016 ausgeführt worden war, sind Zulässigkeit, Zumutbarkeit und Möglichkeit eines Wegweisungsvollzugs zwar grundsätzlich von Amtes wegen zu prüfen; die Untersuchungspflicht findet jedoch ihre Grenzen an der Mitwirkungspflicht der Beschwerdeführerin (vgl. Art. 8 AsylG). Für den vorliegenden Fall ist gestützt auf die vorstehenden Erwägungen im Ergebnis festzustellen, dass es den Asylbehörden nach wie vor nicht möglich ist, sich in voller Kenntnis der tatsächlichen persönlichen und familiären Verhältnisse der Beschwerdeführerin zur Zumutbarkeit des Vollzugs zu äussern, was aber für die Überprüfung von Vollzugshindernissen grundsätzlich Voraussetzung wäre. Es ist ferner nicht Sache der Asylbehörden, nach allfälligen Wegweisungsvollzugshindernissen zu forschen, wenn - wie vorliegend - die Beschwerdeführerin durch unglaubhafte beziehungsweise fehlende, womöglich gezielt vorenthaltene Angaben über ihren genauen Herkunftsort und ihr soziales Beziehungsnetz eine vernünftige Prüfung der Zumutbarkeit des Wegweisungsvollzugs - namentlich auch in Bezug auf die Frage, ob die Beschwerdeführerin im Herkunftsland Zugang zu einer adäquaten psychiatrischen Behandlung hätte - verhindert. Daher ist vermutungsweise davon auszugehen, das dem Vollzug der Wegweisung keine Vollzugshindernisse im Sinne von Art. 83 Abs. 4 AIG entgegenstehen. Eine Unzumutbarkeit aus medizinischen Gründen ist im Übrigen auch deshalb zu verneinen, weil es sich bei den psychischen Problemen der Beschwerdeführerin nicht um lebensbedrohliche Krankheiten handelt und sie darüber hinaus offensichtlich freiwillig darauf verzichtet, die ihr zur Behandlung empfohlenen Medikamente einzunehmen. Schliesslich ist festzustellen, dass es nicht Sinn und Zweck eines Wiedererwägungsverfahrens sein kann, Rügen und Einwände zuzulassen, die bereits im Rahmen des ordentlichen Asyl- respektive Beschwerdeverfahrens hätten vorgebracht werden können (BGE 136 II 177 E. 2.1; Entscheidungen und Mitteilungen der Schweizerischen Asylrekurskommission [EMARK] 2005 Nr. 25 E. 4.2).</w:t>
      </w:r>
    </w:p>
    <w:p>
      <w:r>
        <w:rPr>
          <w:b/>
        </w:rPr>
        <w:t>E. 8.4</w:t>
      </w:r>
    </w:p>
    <w:p>
      <w:r>
        <w:t>Der Beschwerdeführerin ist es nach dem Gesagten nicht gelungen Gründe darzulegen, die in Bezug auf die Frage der Zumutbarkeit des Wegweisungsvollzugs zu einer Wiedererwägung der vorinstanzlichen Verfügung vom 10. Juli 2015 führen könnten. Neue Gründe, welche den Vollzug der Wegweisung als unzulässig oder unmöglich im Sinne von Art. 83 Abs. 2 und 3 AIG erscheinen lassen könnten, wurden im vorliegenden Wiedererwägungsverfahren nicht behauptet und sind auch von Amtes wegen nicht ersichtlich. Insgesamt ist daher festzustellen, dass es der Beschwerdeführerin nicht gelungen ist, eine wiedererwägungsrechtlich relevante, nachträgliche Veränderung der Sachlage glaubhaft zu machen.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w:t>
      </w:r>
    </w:p>
    <w:p>
      <w:r>
        <w:t>Bei diesem Ausgang des Verfahrens sind dessen Kosten der Beschwerdeführerin aufzuerlegen (Art. 63 Abs. 1 VwVG) und auf insgesamt Fr. 1'500.- festzusetzen (Art. 1 3 des Reglements vom 21. Februar 2008 über die Kosten und Entschädigungen vor dem Bundesverwaltungsgericht [VGKE, SR 173.320.2]). Der am 10. Dezember 2019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