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D-6151/2011 vom 31. Januar 2013</w:t>
      </w:r>
    </w:p>
    <w:p>
      <w:r>
        <w:t>Bundesverwaltungsgericht, 2013-01-31, DE</w:t>
      </w:r>
    </w:p>
    <w:p>
      <w:r>
        <w:rPr>
          <w:b/>
        </w:rPr>
        <w:t xml:space="preserve">Quelle: </w:t>
      </w:r>
      <w:r>
        <w:t>https://mcp.opencaselaw.ch/entscheid/bvger_D-6151_2011</w:t>
      </w:r>
    </w:p>
    <w:p>
      <w:r>
        <w:t>FR: TAF D-6151/2011 du 31 janvier 2013</w:t>
      </w:r>
    </w:p>
    <w:p>
      <w:r>
        <w:t>IT: TAF D-6151/2011 del 31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Das BFM verzichtete im angefochtenen Entscheid auf eine explizite Prüfung der Glaubhaftigkeit des dargelegten Sachverhalts und ging offen­sichtlich von der Glaubhaftigkeit der Kernvorbringen des Beschwerdefüh­rers aus. Auch das Bundesverwaltungsgericht bezweifelt die strafrechtli­che Verurteilung des Beschwerdeführers durch die türkischen Be­hörden nicht. Die entsprechenden Verfahrensumstände sind von ihm sub­stanzi­iert geschildert worden und belegt. Entsprechend ist die vom BFM ver­neinte und vom Beschwerdeführer geltend gemachte begründete Furcht vor ernsthaften Nachteilen im Ausreise- beziehungsweise im Entscheidzeit­punkt abzuklären.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vgl. Art. 3 AsylG).</w:t>
      </w:r>
    </w:p>
    <w:p>
      <w:r>
        <w:rPr>
          <w:b/>
        </w:rPr>
        <w:t>E. 5.1</w:t>
      </w:r>
    </w:p>
    <w:p>
      <w:r>
        <w:t>Der Beschwerdeführer hat sich als 15jähriger und demnach im Kindsalter der PKK angeschlossen. Der Anschluss erfolgte offenbar nach ei­nem Eingriff der Sicherheitskräfte, bei welchem sein Vater festgenom­men und gefoltert sowie ein Nachbar umgebracht worden sei. Er sei durch seine Familie beeinflusst und vom Milizkomitee des Dorfes - wel­chem unter anderem auch H._______ angehört habe - in die Berge gebracht wor­den (A 12/28 S. 14 f.). Er sei ohne konkrete Vorstellungen zur PKK ge­gangen; er sei neu, jung und ein "Anfänger" gewesen (A 35/25 Antworten 215 f.). Er sei bei Warentransporten zwar bewaffnet gewesen, habe sich aber - in Anbetracht seines jugendlichen Alters - an keinen bewaff­neten Aktionen beteiligt. Er habe einfache Tätigkeiten ausgeübt und beispielsweise dem Kommandanten Essen und Tee serviert oder sich um dessen Funkgerät gekümmert (A 1 S. 4; A 35/25 Antworten 121 ff. und 136 f.). Nach der Festnahme sei er schwer misshandelt worden und habe bereits damals auch psychisch schwer gelitten (A 12/28 S.12). Während des Strafprozesses sei er von der Polizei unter Druck gesetzt worden, da­mit er Unterlagen unterzeichne. Während der Untersuchungshaft sei er ge­foltert worden beziehungsweise die Staatanwaltschaft habe mit der Folter­kammer gedroht (A 35/25 Antworten 145 ff.). Die in der Anklage­schrift (...) erwähnten Gewaltdelikte habe er nicht began­gen. Am (...) sei er als Minderjähriger gleichwohl zu einer Ge­fängnisstrafe (...) verurteilt wor­den. Wegen seiner Minderjährigkeit sei keine lebenslängliche Haft verfügt worden (A 12/28 S. 16).</w:t>
      </w:r>
    </w:p>
    <w:p>
      <w:r>
        <w:rPr>
          <w:b/>
        </w:rPr>
        <w:t>E. 5.2</w:t>
      </w:r>
    </w:p>
    <w:p>
      <w:r>
        <w:t>Die Schilderungen des Beschwerdeführers zum Strafverfahren in den 90er-Jahren deckt sich mit einer Vielzahl von Berichten zur damaligen Situa­tion im türkischen Gerichtswesen. Dass er misshandelt und mit Fol­ter zumindest bedroht wurde, um ihn zu einem Geständnis zu bringen, ist somit - auch in Anbetracht seiner substanziierten Schilderungen - glaub­haft. Die verfügte, ausgesprochene langjährige Gefängnisstrafe nach ei­nem unfairen Verfahren erscheint unter den gegebenen Umständen zumin­dest nicht als angemessen, sondern es entsteht der Eindruck, dass das Verfahren gegen ihn als Kind primär politisch motiviert war, um ihn re­spektive auch seine Familie für die staatskritische und oppositionelle Hal­tung zu bestrafen. Die eingereichten Gerichtsdokumente, welche ihn in Ver­bindung mit einer Vielzahl von Gewaltdelikten bringen, rechtfertigen of­fensichtlich keine andere Einschätzung, da aufgrund der von ihm erwähn­ten diesbezüglichen Nötigungen zu Geständnissen nicht von de­ren Verwertbarkeit ausgegangen werden kann und er im Übrigen glaubhaft versi­cherte, schon aufgrund seines Alters und des erst kürzlich er­folgten Anschlusses nicht zu solchen Einsätzen der PKK aufgeboten wor­den zu sein.</w:t>
      </w:r>
    </w:p>
    <w:p>
      <w:r>
        <w:rPr>
          <w:b/>
        </w:rPr>
        <w:t>E. 6.1</w:t>
      </w:r>
    </w:p>
    <w:p>
      <w:r>
        <w:t>Entsprechend der Lehre und Praxis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der genannten Verfolgungsmotive drohen oder zugefügt worden sein. Die Verfolgung kann vom Staat oder einem Dritten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 Nr. 12).</w:t>
      </w:r>
    </w:p>
    <w:p>
      <w:r>
        <w:rPr>
          <w:b/>
        </w:rPr>
        <w:t>E. 6.2</w:t>
      </w:r>
    </w:p>
    <w:p>
      <w:r>
        <w:t>Die Verurteilung in casu zu einer Haftstrafe von mehr als (...) Jahren ist in Würdi­gung der erwähnten Umstände zweifellos als ernsthafter Nachteil im Sinne von Art. 3 AslyG zu qualifizieren. Die vom Staat verfügte Haft zielte darauf ab, den Beschwerdeführer insbesondere wegen seiner politi­schen Anschauungen zu treffen.</w:t>
      </w:r>
    </w:p>
    <w:p>
      <w:r>
        <w:rPr>
          <w:b/>
        </w:rPr>
        <w:t>E. 6.3.1</w:t>
      </w:r>
    </w:p>
    <w:p>
      <w:r>
        <w:t>Die Vorinstanz macht zwar geltend, das erwähnte Verfahren sei ab­geschlossen und der Beschwerdeführer werde im Heimatland nicht ge­sucht. Diese Sichtweise wird von ihm grundsätzlich bestätigt. Das BFM hält im Weiteren fest, der Beschwerdeführer sei nach der Haftentlas­sung im Dorf nicht in einer Situation gewesen, welche auf begründete Furcht vor ernsthaften Nachteilen im Zeitpunkt der Ausreise hätte schlies­sen lassen.</w:t>
      </w:r>
    </w:p>
    <w:p>
      <w:r>
        <w:rPr>
          <w:b/>
        </w:rPr>
        <w:t>E. 6.3.2</w:t>
      </w:r>
    </w:p>
    <w:p>
      <w:r>
        <w:t>Der Beschwerdeführer konnte indes glaubhaft darlegen, bereits we­nige Tage nach der Haftentlassung im Dorf bei einer Vorsprache der Poli­zei unter anderem gefragt worden zu sein, ob er immer noch für die PKK arbeite und Kontakte zu E._______ habe. Einen Monat später habe sich die Poli­zei erneut nach E._______ erkundigt und ihm gesagt, gemäss Informationen der Dorfschützer würde E._______ zu ihm Kontakt aufnehmen. Er habe dies ver­neint. Die Polizisten hätten bei der Vorsprache gedroht, mit ihm abzurech­nen, falls er nicht die Wahrheit sage (vgl. u.a. A 35/25 Antworten 169 ff.). Die Botschaftsabklärungen zu H._______ haben ergeben, dass dieser von der tür­kischen Behörden im Rahmen einer antiterroristischen Strafverfolgung landesweit gesucht werde. Es würden ihm terroristische Aktivitäten im Zu­sammenhang mit der PKK angelastet. Er unterliege einem Passverbot; über ihn bestehe ein politisches Datenblatt. E._______ werde von den türkischen Be­hörden ebenfalls landesweit gesucht. Im Zusammenhang mit PKK-Aktivitäten werde ihm angelastet, "Aktionen zu begehen mit dem Ziel, bestimmte Teile des Staatsgebietes der der Staatsgewalt zu entreissen"; er unter­liege einem Passverbot; über ihn bestehe ein politisches Datenblatt. M._______ werde von den türkischen Behörden im Rahmen einer antiterroristischen Strafverfolgung landesweit gesucht; er unterliege einem Passverbot; über ein bestehe ein politisches Datenblatt. Vor diesem Hintergrund erscheint namentlich das grosse Interesse der Behörden auch an E._______ als nachvollzieh­bar, und der Beschwerdeführer hatte im Zeitpunkt der Aus­reise und der damaligen Situation vor Ort entgegen den vorinstanzlichen Er­wägungen durchaus - zumindest im Rahmen einer Reflexverfolgung - be­gründete Furcht vor weiteren asylbeachtlichen Nachteilen.</w:t>
      </w:r>
    </w:p>
    <w:p>
      <w:r>
        <w:rPr>
          <w:b/>
        </w:rPr>
        <w:t>E. 6.4.1</w:t>
      </w:r>
    </w:p>
    <w:p>
      <w:r>
        <w:t>Die Vorinstanz verneint eine begründete Furcht des Beschwerdefüh­rers insbesondere im Entscheidzeitpunkt und verweist auf die verbes­serte Menschenrechtssituation vor Ort. Der Beschwerdeführer legt unter anderem dar, wegen des Prozesses im türkischen Registriersystem GBTS vermerkt worden zu sein. Das BFM verkenne diesen Sachverhalt.</w:t>
      </w:r>
    </w:p>
    <w:p>
      <w:r>
        <w:rPr>
          <w:b/>
        </w:rPr>
        <w:t>E. 6.4.2</w:t>
      </w:r>
    </w:p>
    <w:p>
      <w:r>
        <w:t>Aufgrund der glaubhaften Haftstrafe gilt der Beschwerdeführer mut­masslich als "politisch unbequeme Person", und es wäre durchaus zu er­warten gewesen, dass ein politisches Datenblatt über ihn besteht, auf wel­ches die Behörden landesweit Zugriff haben (vgl. BVGE 2010/9 E. 5.3.3). Ein solches konnte vom BFM im Rahmen der Botschaftsabklärun­gen indes nicht eruiert werden. Ohne die grundsätzli­che Zuverlässigkeit dieser Abklärungen in Frage zu stellen, fällt vorlie­gend auf, dass das BFM im Rahmen der ersten Botschaftsabklärung nicht in der Lage war, das Vorhandensein von gewissen Datenblättern abzuklären und Fragen zu behördlichen Suchen zu beantworten. Erst im zweiten Anlauf soll dies vollumfänglich gelungen sein. Letztlich kann aber die Frage, ob der Be­schwerdeführer im System GBTS aufgeführt wird, offen gelassen werden.</w:t>
      </w:r>
    </w:p>
    <w:p>
      <w:r>
        <w:rPr>
          <w:b/>
        </w:rPr>
        <w:t>E. 6.4.3</w:t>
      </w:r>
    </w:p>
    <w:p>
      <w:r>
        <w:t>Da der Beschwerdeführer in der von ihm geltend gemachten Art und Weise bereits staatlichen Verfolgungsmassnahmen ausgesetzt war, kann er sich auf eine - im Vergleich zu einer bislang unbehelligten Per­son - ausgeprägtere (subjektive) Furcht berufen, weshalb bei ihm die Schwelle für die Begründetheit der von ihm empfundenen Ängste entspre­chend tiefer anzusetzen ist (vgl. BVGE 2010/57 E. 2.5 S. 827 f., BVGE 2010/9 E. 5.2 S. 120).</w:t>
      </w:r>
    </w:p>
    <w:p>
      <w:r>
        <w:rPr>
          <w:b/>
        </w:rPr>
        <w:t>E. 6.4.4</w:t>
      </w:r>
    </w:p>
    <w:p>
      <w:r>
        <w:t>Dass der Beschwerdeführer im Zeitpunkt der Ausreise wegen E._______ und den damit verbundenen Drohungen der Sicherheitskräfte mit asylbe­achtlichen Nachteilen rechnen musste, wurde bereits festgehalten. Hinzu kommen gemäss Botschaftsabklärungen die Erkenntnisse betreffend H._______ und M._______, welche im Rahmen einer antiterroristischen Strafverfol­gung gesucht würden. Betreffend H._______ ist einzuräumen, dass seine Flucht ins Ausland den Behörden bekannt sein dürfte und insoweit die Verfolgungs­gefahr des Beschwerdeführers nur bedingt akzentuiert wird. Na­mentlich in Anbetracht der Situation von E._______ und M._______ kann sich der Be­schwerdeführer aber auch im aktuellen Zeitpunkt in Berücksichtigung sei­ner subjektiven Furcht nach wie vor auf Art. 3 AsylG berufen. Da­bei ist festzuhalten, dass in objektiver Hinsicht die vom BFM dargelegte Ver­besserung der Lage vor Ort in gewissen Punkten zutrifft, verschiede­nen Berichten zufolge aber nach wie vor mit Menschenrechtsverletzun­gen zu rechnen ist. Es gibt weiterhin Vorwürfe von Folter und andere Miss­hand­lungen, die sowohl in Polizeigewahrsam als auch beim Trans­port festgenommener Personen ins Gefängnis begangen wurden (vgl. den Türkeibericht 2012 von ai). Entsprechend würde ihm eine solche Ge­fahr bereits bei der Einreise drohen. Aufgrund der modernen Infrastruktur am Flughafen würde er ohne Zweifel und auch ohne Registrierung im Sys­tem GBTS sehr bald als Person erkannt werden, welche unter den er­wähnten Umständen angeklagt und verurteilt wurde und mit national ge­suchten Personen verwandt ist. Eine innerstaatliche Fluchtalternative be­steht offensichtlich nicht.</w:t>
      </w:r>
    </w:p>
    <w:p>
      <w:r>
        <w:rPr>
          <w:b/>
        </w:rPr>
        <w:t>E. 6.5</w:t>
      </w:r>
    </w:p>
    <w:p>
      <w:r>
        <w:t>Zusammenfassend ergibt sich, dass die Voraussetzungen von Art. 3 und 7 AsylG beim Beschwerdeführer erfüllt sind. Aus den Akten ergeben sich gemäss obenstehenden Erwägungen keine konkreten Hinweise auf das Vorliegen von Asylausschlussgründen. Ein konkreter Tatbeitrag im Rahmen des Engagements für die PKK, welcher diese Sanktion rechtferti­gen würde, ist nicht ersichtlich. Im Übrigen erschiene ein Ausschluss vom Asyl selbst im Falle der Beteiligung des damals 15-jährigen Beschwerdeführers an Kampfhandlungen der PKK aus heutiger Sicht angesichts seines damals jungen Alters, der verbüssten Gefängnisstrafe, des Zeitablaufs von 20 Jahren und der offensichtlichen Abkehr des Beschwerdeführers von der PKK nicht verhältnismässig. Demnach ist das BFM anzuwei­sen, dem Beschwerdeführer Asyl zu gewähren. Bei dieser Sachlage kann an sich davon abgesehen werden, auf weitere Sachverhaltselemente, Be­schwerdevorbrin­gen und die Beweismittel näher einzugehen.</w:t>
      </w:r>
    </w:p>
    <w:p>
      <w:r>
        <w:rPr>
          <w:b/>
        </w:rPr>
        <w:t>E. 7</w:t>
      </w:r>
    </w:p>
    <w:p>
      <w:r>
        <w:t>Diesen Erwägungen gemäss ist die Beschwerde gutzuheissen und die angefochtene Verfü­gung der Vorinstanz vollumfänglich aufzuheben. Angesichts dieses Ausgangs des Verfahrens kann an dieser Stelle offen bleiben, ob dem Beschwerdeführer aus zwingenden Gründen die Flüchtlingseigenschaft zuzuerkennen wäre. Eine erlittene Vorverfolgung ist aus­nahmsweise auch nach Wegfall einer drohenden Verfolgungsgefahr weiterhin als asylrechtlich relevant zu betrachten, nämlich dann, wenn eine Rückkehr in den früheren Verfolgerstaat aus zwingenden, auf diese Verfolgung zurückgehenden Gründen nicht zumutbar ist (vgl. BVGE 2007/31 E. 5.4 mit weiteren Hinweisen). Dass der Beschwerdeführer unter einer posttraumatischen Belastungsstörung aufgrund der erlittenen Verfolgung leidet, kann als erstellt betrachtet werden (vgl. Arztberichte vom 31. März 2007, 21. Februar 2008 und 12. Juni 2012.). Ob die erlittenen Nachteile aber auch als schwerwiegende Verfolgung im Sinne der Praxis zu qualifizieren wäre, kann vorliegend wie erwähnt dahingestellt bleiben.</w:t>
      </w:r>
    </w:p>
    <w:p>
      <w:r>
        <w:rPr>
          <w:b/>
        </w:rPr>
        <w:t>E. 8.1</w:t>
      </w:r>
    </w:p>
    <w:p>
      <w:r>
        <w:t>Bei diesem Ausgang des Verfahrens sind keine Kosten aufzuerlegen, womit das Gesuch um unentgeltliche Rechtspflege gegenstandslos wird.</w:t>
      </w:r>
    </w:p>
    <w:p>
      <w:r>
        <w:rPr>
          <w:b/>
        </w:rPr>
        <w:t>E. 8.2</w:t>
      </w:r>
    </w:p>
    <w:p>
      <w:r>
        <w:t>Obsiegende Parteien haben Anspruch auf eine Parteient­schädi­gung für die ihnen erwachsenen notwendigen Kosten (Art. 7 Abs. 1 des Regle­ments vom 21. Februar 2008 über die Kosten und Ent­schä­di­gungen vor dem Bundes­verwaltungsgericht [VGKE, SR 173.320.2]). Nach­dem sich der not­wendige Vertretungsaufwand aufgrund der Ak­ten­lage hin­reichend zu­verlässig abschätzen lässt, er­übrigt sich die Einholung einer Kosten­note. Die von der Vorinstanz aus­zu­rich­tende Parteientschädigung ist un­ter Berück­sichtigung der mass­ge­ben­den Be­messungsfaktoren von Amtes wegen auf Fr. 2'400.-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