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D-6150/2017 vom 6. Dezember 2017</w:t>
      </w:r>
    </w:p>
    <w:p>
      <w:r>
        <w:t>Bundesverwaltungsgericht, 2017-12-06, DE</w:t>
      </w:r>
    </w:p>
    <w:p>
      <w:r>
        <w:rPr>
          <w:b/>
        </w:rPr>
        <w:t xml:space="preserve">Quelle: </w:t>
      </w:r>
      <w:r>
        <w:t>https://mcp.opencaselaw.ch/entscheid/bvger_D-6150_2017</w:t>
      </w:r>
    </w:p>
    <w:p>
      <w:r>
        <w:t>FR: TAF D-6150/2017 du 6 décembre 2017</w:t>
      </w:r>
    </w:p>
    <w:p>
      <w:r>
        <w:t>IT: TAF D-6150/2017 del 6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Revisionsgesuch wurde hinsichtlich eines neuen Beschwerdeentscheids in der Hauptsache die Anerkennung des Beschwerdeführers als Flüchtling und die vorläufige Aufnahme aufgrund subjektiver Nachfluchtgründe beantragt. Begründet wurde dies mit der Feststellung des EGMR, der Beschwerdeführer sei bei einer Rückkehr in den Sudan aufgrund seiner exilpolitischen Aktivitäten in der Schweiz einem "real risk" von Folter ausgesetzt. Seine exilpolitischen Aktivitäten hätten ihn ausreichend exponiert, um die Aufmerksamkeit der sudanesischen Behörden auf ihn zu lenken. Vorliegender Fall sei mit dem im Grundsatzurteil BVGE 2013/21 beurteilten vergleichbar, in dem das Bundesverwaltungsgericht aufgrund des politischen Engagements jenes Beschwerdeführers dessen Flüchtlingseigenschaft anerkannt habe. Der Beschwerdeführer habe gemäss rechtskräftiger Einschätzung des EGMR stichhaltige Gründe für seine Gefährdung bei einer Rückkehr in den Sudan allein gestützt auf sein politisches Engagement in der Schweiz dargelegt und somit das Bestehen der Flüchtlingseigenschaft glaubhaft gemacht.</w:t>
      </w:r>
    </w:p>
    <w:p>
      <w:r>
        <w:rPr>
          <w:b/>
        </w:rPr>
        <w:t>E. 4.1</w:t>
      </w:r>
    </w:p>
    <w:p>
      <w:r>
        <w:t>Der Beschwerdeführer machte bei seinen Anhörungen geltend, er sei Helfer des Anführers des "Justice and Equality Movement" (JEM), begleite diesen zu allen Versammlungen, werde von diesem über die im Sudan getroffenen Entscheidungen der Anführer orientiert und müsse dann die andern informieren. Er organisiere Treffen und Versammlungen, sei mithin zuständig für alles, was die Logistik und Verpflegung angehe. Jeden Samstag komme er mit den Mitgliedern der Organisation zusammen. Er sei nur für die Organisation zuständig und mache nichts anderes, was bedeute, dass er die andern über die bevorstehenden Treffen informiere, den Raum organisiere und dafür schaue, dass genügend Wasser und Essen vorhanden sei. Für grössere Veranstaltungen, an welchen alle Sudanesen in der Schweiz eingeladen würden, müsse er die Betroffenen telefonisch oder per Mail kontaktieren. Er habe an (...) B._______ (...) teilgenommen, dort aber keine bestimmte Aufgabe gehabt. Auch am (...) B._______ habe er keine grosse Rolle gespielt, sondern sei nur als Helfer im Einsatz gewesen. Am (...) habe er an einer Demonstration - ebenfalls ohne eine bestimmte Aufgabe übernommen zu haben - in B._______ teilgenommen. Dabei habe er Flugblätter an die Passanten verteilt. Auch an einer Versammlung der JEM mit allen Oppositionsgruppen in den Räumlichkeiten (...) B._______ (...) sei er als Helfer anwesend gewesen. Am (...) schliesslich habe er an der jährlichen Konferenz der Friedensorganisation für Darfur in C._______ teilgenommen und über diese Organisation Spenden gesammelt. Er sei auch Mitglied beim "Darfur Friedens- und Entwicklungszentrum" (DFEZ). Damit habe er an allen Versammlungen, welche es in der Schweiz gebe, teilgenommen. Da es von ihm als Folge seiner exilpolitischen Tätigkeiten Fotos gebe, auf welchen er mit oppositionellen Führern zu sehen sei, wäre im Fall einer Rückkehr ins Heimatland sein Leben in Gefahr (vgl. Akte A15/20 S. 14 ff.). Im Beschwerdeverfahren wurde in Ergänzung dazu vorgebracht, der Beschwerdeführer habe sich anlässlich der verschiedenen UNO-Konferenzen mit führenden Persönlichkeiten der sudanesischen Opposition über die aktuelle Lage in Darfur unterhalten und sei mit ihnen fotografiert worden. Den beim SEM eingereichten Beweismitteln (vgl. act. A16) kann entnommen werden, dass er als Mitglied des DFEZ an einem weiteren (...) teilgenommen hat, zumal er seine Legitimation für die Teilnahme und verschiedene Fotos zu den Akten reichte. Im Beschwerdeverfahren schliesslich reichte er Fotos einer Versammlung des JEM vom (...) zu den Akten und machte geltend, zwei regierungskritische Artikel in arabischer Sprache auf der sudanesischen Internetseite (unter [...]) publiziert zu haben.</w:t>
      </w:r>
    </w:p>
    <w:p>
      <w:r>
        <w:rPr>
          <w:b/>
        </w:rPr>
        <w:t>E. 5.1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Neuauflage Genf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5.2</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jedoch durch den - gesetzgebungstechnisch an sich unnötigen - ausdrücklichen Hinweis auf den Vorbehalt der FK wieder relativiert (vgl. Art. 3 Abs. 4 in fine AsylG und Urteil des BVGer E-4192/2013 vom 5. Februar 2014 E. 5.2).</w:t>
      </w:r>
    </w:p>
    <w:p>
      <w:r>
        <w:rPr>
          <w:b/>
        </w:rPr>
        <w:t>E. 5.3.1</w:t>
      </w:r>
    </w:p>
    <w:p>
      <w:r>
        <w:t>Der EGMR hat in seinem Urteil vom 30. Mai 2017 festgestellt, der Beschwerdeführer sei während mehreren Jahren Mitglied der JEM und der DFEZ gewesen. Die Mitgliedschaften bei der JEM und der DFEZ stellten Risikofaktoren dar. Die Aktivitäten des Beschwerdeführers, die aufgrund seiner Rolle bei der Organisation der wöchentlichen Sitzungen des JEM und seiner regelmässigen Teilnahme an den Veranstaltungen des JEM und DFEZ bereits erheblich gewesen seien, hätten mit der Zeit an Bedeutung gewonnen, was seine Teilnahme an internationalen Konferenzen, seine kritischen Artikel und seine Ernennung als Medienverantwortlicher des JEM zeigten. Er könnte den sudanesischen Behörden bekannt sein, obwohl seine Aktivitäten nicht hoch-profiliert seien. Es lägen stichhaltige Gründe dafür vor, dass er bei einer Rückkehr in den Sudan aufgrund seiner politischen Aktivitäten bereits am Flughafen verhaftet, verhört und gefoltert werde.</w:t>
      </w:r>
    </w:p>
    <w:p>
      <w:r>
        <w:rPr>
          <w:b/>
        </w:rPr>
        <w:t>E. 5.3.2</w:t>
      </w:r>
    </w:p>
    <w:p>
      <w:r>
        <w:t>Der EGMR ist, wie vorstehend ausgeführt, zum Schluss gelangt, es bestünden stichhaltige Gründe (substantial grounds) dafür, dass das sudanesische Regime auf den Beschwerdeführer aufmerksam geworden ist. Diese Feststellung ist für die schweizerischen Asylbehörden bindend. Da somit davon auszugehen ist, es bestehe eine überwiegende Wahrscheinlichkeit dafür, dass er während seines Aufenthalts in der Schweiz vom sudanesischen Regime als aktiver Oppositioneller registriert worden ist, besteht hinreichender Anlass zur Annahme, er habe bei der Rückkehr in den Sudan mit ernsthaften Nachteilen von Seiten des sudanesischen Regimes zu rechnen. Gemäss Auffassung des EGMR genügen seine vorgebrachten exilpolitischen Aktivitäten in der Schweiz, um eine begründete Furcht vor zukünftiger Verfolgung auszulösen. Er erfüllt somit die Anforderungen an die Flüchtlingseigenschaft; dies allerdings einzig aufgrund des Vorliegens subjektiver Nachfluchtgründe, was eine Asylgewährung - die vorliegend auch nicht beantragt wird - ausschliesst (vgl. Art. 54 AsylG).</w:t>
      </w:r>
    </w:p>
    <w:p>
      <w:r>
        <w:rPr>
          <w:b/>
        </w:rPr>
        <w:t>E. 5.4</w:t>
      </w:r>
    </w:p>
    <w:p>
      <w:r>
        <w:t>Zusammenfassend ist festzustellen, dass es dem Beschwerdeführer gelungen ist, das Bestehen subjektiver Nachfluchtgründe im Sinne von Art. 54 AsylG glaubhaft zu machen, und er damit die Voraussetzungen für die Anerkennung der Flüchtlingseigenschaft erfüllt.</w:t>
      </w:r>
    </w:p>
    <w:p>
      <w:r>
        <w:rPr>
          <w:b/>
        </w:rPr>
        <w:t>E. 6</w:t>
      </w:r>
    </w:p>
    <w:p>
      <w:r>
        <w:t>Die Beschwerde ist demnach gutzuheissen und die Ziffern 1, 4 und 5 der Verfügung des SEM vom 28. Mai 2014 sind aufzuheben. Der Beschwerdeführer ist als Flüchtling anzuerkennen und das SEM ist anzuweisen, ihn zufolge Unzulässigkeit des Wegweisungsvollzugs als Flüchtling in der Schweiz vorläufig aufzunehmen.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durch die Eingabe des Rechtsvertreters vom 19. September 2017 entstandenen Kosten wurden bereits im Rahmen des Revisionsverfahrens D-5324/2017 vollumfänglich entschädigt. Im Beschwerdeverfahren D-3851/2014 wurde für den entstandenen Aufwand eine Kostennote vom 13. August 2014 über Fr. 2850.75 eingereicht. Es werden ein zeitlicher Aufwand von 8,75 Stunden (à Fr. 300.-) und Spesen von Fr. 14.60 aufgeführt, was angemessen erscheint. Das SEM ist demnach anzuweisen, dem Beschwerdeführer eine Parteientschädigung von Fr. 2850.75 (inkl. Auslagen und Mehrwertsteuerzuschlag)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