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D-6140/2011 vom 21. November 2011</w:t>
      </w:r>
    </w:p>
    <w:p>
      <w:r>
        <w:t>Bundesverwaltungsgericht, 2011-11-21, DE</w:t>
      </w:r>
    </w:p>
    <w:p>
      <w:r>
        <w:rPr>
          <w:b/>
        </w:rPr>
        <w:t xml:space="preserve">Quelle: </w:t>
      </w:r>
      <w:r>
        <w:t>https://mcp.opencaselaw.ch/entscheid/bvger_D-6140_2011</w:t>
      </w:r>
    </w:p>
    <w:p>
      <w:r>
        <w:t>FR: TAF D-6140/2011 du 21 novembre 2011</w:t>
      </w:r>
    </w:p>
    <w:p>
      <w:r>
        <w:t>IT: TAF D-6140/2011 del 21 novembre 2011</w:t>
      </w:r>
    </w:p>
    <w:p>
      <w:pPr>
        <w:pStyle w:val="Heading2"/>
      </w:pPr>
      <w:r>
        <w:t>Regeste</w:t>
      </w:r>
    </w:p>
    <w:p>
      <w:r>
        <w:t>Asylgesuch aus dem Ausland und Einreisebewilligung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des Bundesgesetzes vom 20. Dezember 1968 über das Verwaltungsverfahren (VwVG, SR 172.021),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ausser bei Vorliegen eines Auslieferungsersuchens des Staates, vor welchem die beschwerdeführende Person Schutz sucht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sowie die Unangemessenheit gerügt werden (Art. 106 Abs. 1 AsylG).</w:t>
      </w:r>
    </w:p>
    <w:p>
      <w:r>
        <w:rPr>
          <w:b/>
        </w:rPr>
        <w:t>E. 2</w:t>
      </w:r>
    </w:p>
    <w:p>
      <w:r>
        <w:t>Die sinngemässe Beschwerde wurde lediglich von der Beschwerdeführerin unterzeichnet. Aufgrund der Aktenlage ist indessen davon auszugehen, dass sie dabei auch im Namen und im Auftrag ihres Ehemannes gehandelt hat. Die Beschwerdeführenden sind legitimiert; auf die frist- und (wenn auch nur knapp) formgerecht eingereichte Beschwerde ist einzutreten (Art. 105 und 108 Abs. 1 AsylG; Art. 37 VGG i.V.m. Art. 48 Abs. 1 und Art. 52 VwVG).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wird auf die Durchführung des Schriftenwechsels verzichtet.</w:t>
      </w:r>
    </w:p>
    <w:p>
      <w:r>
        <w:rPr>
          <w:b/>
        </w:rPr>
        <w:t>E. 4.1</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erkannt (vgl. zum Folgenden BVGE 2007/30 E. 5.2 ff.), dass sich die Unmöglichkeit einer Befragung aus organisatorischen oder kapazitätsmässigen Gründen bei der jeweiligen Vertretung, aus faktischen Hindernissen im betreffenden Land oder aus bei der asylsuchenden Person liegenden persönlichen Gründen ergeben kann. Da die Anhörung der Sachverhaltserstellung sowie der Gewährung des rechtlichen Gehörs dient,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Schliesslich ist das Bundesamt in jedem Fall gehalten, das Absehen von einer Befragung in der Verfügung über das Asylgesuch zu begründen.</w:t>
      </w:r>
    </w:p>
    <w:p>
      <w:r>
        <w:rPr>
          <w:b/>
        </w:rPr>
        <w:t>E. 4.2</w:t>
      </w:r>
    </w:p>
    <w:p>
      <w:r>
        <w:t>Im vorliegenden Fall wurden die Beschwerdeführenden von der schweizerischen Botschaft in Kolumbien zu ihren Asylgesuchen nicht befragt, da die Botschaft dazu gemäss Überweisungsschreiben vom 19. August 2010 aus gerichtsnotorischen und mithin nachvollziehbaren Kapazitätsgründen nicht in der Lage war. Den Beschwerdeführenden wurde mit Zwischenverfügung des BFM vom 12. Oktober 2010 mitgeteilt, der entscheidrelevante Sachverhalt sei aufgrund der Aktenlage als erstellt zu erachten. Gleichzeitig wurde ihnen zu dieser Feststellung sowie im Hinblick auf die vom Bundesamt in Erwägung gezogene Abweisung der Asylgesuche das rechtliche Gehör gewährt. Eine diesbezügliche Stellungnahme reichten die Beschwerdeführenden indessen nicht ein, allerdings leitete die schweizerische Botschaft in Bogotà am 12. Oktober 2010 ein Schreiben der Beschwerdeführenden mit ergänzenden Ausführungen zu ihrem Asylgesuch an das BFM weiter (Eingang beim BFM am 25. Oktober 2010). Angesichts der einlässlichen Ausführungen der Beschwerdeführenden in ihren schriftlichen Eingaben sowie unter Berücksichtigung der eingereichten Beweismittel ist der entscheidwesentliche Sachverhalt als hinreichend abgeklärt zu erachten. Im Weiteren hat das BFM in der angefochtenen Verfügung das Absehen von einer persönlichen Anhörung in nachvollziehbarer Weise begründet. Somit hat das BFM den verfahrensrechtlichen Anforderungen an die Behandlung der Asylgesuche ausreichend Rechnung getragen.</w:t>
      </w:r>
    </w:p>
    <w:p>
      <w:r>
        <w:rPr>
          <w:b/>
        </w:rPr>
        <w:t>E. 5.1</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und Mitteilungen der Schweizerischen Asylrekurskommission [EMARK] 1997 Nr. 15, insbesondere S. 131 ff.; dieser Entscheid hat angesichts bloss redaktioneller Änderungen bei der letzten Totalrevision des Asylgesetzes nach wie vor Gültigkeit).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Im vorliegenden Fall hat die Vorinstanz zur Recht festgestellt, dass die Beschwerdeführenden offensichtlich über keine besonders nahen Beziehungen zur Schweiz verfügen. Auch auf Beschwerdeebene werden keine derartigen Beziehungen zur Schweiz geltend gemacht. Des Weiteren hat das Bundesamt zu Recht ausgeführt, dass es den Beschwerdeführenden zuzumuten ist, in einem anderen la­teinamerikanischen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im Sinne von Art. 33 FK, auch wenn als Einschränkung festgestellt werden muss, dass es in den Grenzgebieten - insbesondere denjenigen zu Panama und Venezuela - in den letzten Jahren zu unkontrollierten Rückschiebungen durch die Grenzbehörden gekommen ist. Wie das BFM zutreffend erwähnt hat, wird jedoch jährlich ein beträchtlicher Teil der kolumbianischen Asylsuchenden in den Nachbarländern (namentlich in Ecuador) als Flüchtlinge anerkannt. Kolumbianische Staatsangehörige können im Übrigen visumsfrei nach Brasilien, Ecuador und Peru einreisen. Eine Schutzsuche in diesen Ländern ist zudem auch aus geografischen, kulturellen und sprachlichen Gründen naheliegender als eine Schutzsuche in der Schweiz. Weder aus den Vorbringen der Beschwerdeführenden im vorinstanzlichen Verfahren (unter Berücksichtigung der eingereichten Beweismittel) noch auf Beschwerdeebene ergeben sich konkrete Anhaltspunkte, die darauf schliessen liessen, es sei ihnen praktisch unmöglich oder objektiv unzumutbar, sich in einen anderen Staat, insbesondere einen der Nachbarstaaten Kolumbiens, zu begeben (vgl. EMARK 2004 Nr. 20 sowie 1997 Nr. 15 E. 2f). Dies gilt umso mehr, als es sich bei den Beschwerdeführenden aufgrund der Akten nicht um landesweit bekannte Personen handelt, die aufgrund einer besonders exponierten Stellung auch bei einer Flucht ins nahe Ausland allenfalls befürchten müssten, weiterhin verfolgt zu werden.</w:t>
      </w:r>
    </w:p>
    <w:p>
      <w:r>
        <w:rPr>
          <w:b/>
        </w:rPr>
        <w:t>E. 6.2</w:t>
      </w:r>
    </w:p>
    <w:p>
      <w:r>
        <w:t>Bei dieser Sachlage kann offen bleiben, ob sich die Beschwerdeführenden den geltend gemachten Bedrohungen allenfalls durch eine in­nerstaatliche Verlegung ihres Wohnsitzes dauerhaft entziehen könnten.</w:t>
      </w:r>
    </w:p>
    <w:p>
      <w:r>
        <w:rPr>
          <w:b/>
        </w:rPr>
        <w:t>E. 6.3</w:t>
      </w:r>
    </w:p>
    <w:p>
      <w:r>
        <w:t>Nach dem Gesagten ist zusammenfassend festzuhalten, dass die Beschwerdeführenden über keine konkrete Beziehungsnähe zur Schweiz verfügen, hingegen die Möglichkeit der anderweitigen Schutzsuche haben. Unter diesen Umständen hat das BFM zu Recht den Beschwerdeführenden die Erteilung der Einreisebewilligung verweigert und die Asyl­gesuche abgelehnt.</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wären dessen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