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D-613/2011 vom 14. Juli 2011</w:t>
      </w:r>
    </w:p>
    <w:p>
      <w:r>
        <w:t>Bundesverwaltungsgericht, 2011-07-14, DE</w:t>
      </w:r>
    </w:p>
    <w:p>
      <w:r>
        <w:rPr>
          <w:b/>
        </w:rPr>
        <w:t xml:space="preserve">Quelle: </w:t>
      </w:r>
      <w:r>
        <w:t>https://mcp.opencaselaw.ch/entscheid/bvger_D-613_2011</w:t>
      </w:r>
    </w:p>
    <w:p>
      <w:r>
        <w:t>FR: TAF D-613/2011 du 14 juillet 2011</w:t>
      </w:r>
    </w:p>
    <w:p>
      <w:r>
        <w:t>IT: TAF D-613/2011 del 14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teilt die Auffassung des BFM, wonach die Vorbringen des Beschwerdeführers aufgrund der wenig begründeten Darstellung der Ereignisse nicht geglaubt werden können. Nicht nur die Schilderung der siebzehntägigen Haft und der siebentägigen Gefangennahme, sondern vor allem die Beschreibung der Verhöre und Schläge durch die Behörden wirkt rudimentär und abstrakt und könnte in dieser Form ohne weiteres von irgendjemanden nacherzählt werden. Seinen Aussagen sind insbesondere keinerlei Hinweise auf seine inneren Befindlichkeiten zu entnehmen. An keiner Stelle kommen seine Gefühle oder Ängste während der Haft oder der Misshandlungen zum Ausdruck. Auch lassen sich seinen Schilderungen keine Angaben über seine bei den Misshandlungen erlittenen Schmerzen oder über die Art der erlittenen Qualen oder wer genau sein Peiniger war, entnehmen. Demgegenüber sind jedoch Menschen, die sich tatsächlich in einer vom Beschwerdeführer geschilderten Situation befunden haben, erfahrungsgemäss zu einer differenzierten und anschaulichen Darstellung ihrer inneren Befindlichkeiten im Stande, die denn auch von einer subjektiven Sichtweise geprägt ist. Wie das BFM in der angefochtenen Verfügung zu Recht festgestellt hat, lassen die entsprechenden Ausführungen des Beschwerdeführers jegliche persönlich gefärbte Betroffenheit vermissen. Zwar hat er während der Anhörung geweint (vgl. A6/11 S. 4 F. 24), die Ursache der Gefühlsreaktion ist jedoch eng im Zusammenhang mit der Erwähnung seiner Mutter und den Angehörigen zu suchen (vgl. a.a.O). Auffallend ist auch, dass der Beschwerdeführer überhaupt keine näheren Angaben zu seinen Aufenthaltsorten machen konnte. So gab er lediglich zu Protokoll, man habe ihn in einem Keller eingesperrt (vgl. A6/11 S. 3 F. 16), und die Taliban hätten ihn in einer Lehmhütte gefangen gehalten (vgl. A6/11 S. 5 F. 33). Ausser dem dort angeblich herrschenden Geruch nach Schafen (vgl. a.a.O) konnte er weder allfällige Geräusche, die dort herrschenden Lichtverhältnisse noch die Einrichtung des Raumes auch nur annähernd beschreiben. Auch den Keller, in dem er immerhin rund zweieinhalb Wochen lang eingesperrt gewesen sein will, konnte er nicht näher beschreiben. Das BFM hat denn auch diesbezüglich zu Recht festgehalten, die Aussage des Beschwerdeführers, die siebzehn Tage seien ihm wie siebzehn Jahre vorgekommen, könne seine Erwägungen nicht umstossen. Auch auf Beschwerdeebene verzichtete der Beschwerdeführer darauf, diesbezüglich konkretere Angaben zu machen. Insgesamt drängt sich der Eindruck auf, der Beschwerdeführer habe eine erfundene Geschichte erzählt. Somit können die vom Beschwerdeführer geltend gemachten Vorbringen, die ihn zur Flucht bewogen haben sollen, nicht geglaubt werden.</w:t>
      </w:r>
    </w:p>
    <w:p>
      <w:r>
        <w:rPr>
          <w:b/>
        </w:rPr>
        <w:t>E. 4.2</w:t>
      </w:r>
    </w:p>
    <w:p>
      <w:r>
        <w:t>Bei dieser Sachlage erübrigt es sich, auf die weiteren Ausführungen in der Beschwerde im Einzelnen einzugehen, da diese nicht geeignet sind, zu einer anderen rechtlichen Würdigung der Aktenlage zu führen. Unter diesem Umständen ist somit festzuhalten,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Afghanistan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Im zur Publikation vorgesehenen Urteil BVGE E-7625/2008 vom 16. Juni 2011 nahm das Bundesverwaltungsgericht eine aktuelle ausführliche Lageanalyse vor und kam dabei zum Schluss, dass in weiten Teilen Afghanistans - ausser allenfalls in den Grossstädten - eine derart schlechte Sicherheitslage und derart schwierige humanitäre Bedingungen bestehen, dass die Situation als existenzbedrohend im Sinne von Art. 83 Abs. 4 AuG zu qualifizieren sei (vgl. a.a.O E. 9.9.1). Von dieser allgemeinen Feststellung sei die Situation in der Hauptstadt Kabul zu unterscheiden. Angesichtes des Umstandes, dass sich dort die Sicherheitslage im Verlauf des vergangenen Jahres nicht verschlechtert habe und die humanitäre Situation im Vergleich zu den übrigen Gebieten etwas weniger dramatisch sei, könne der Vollzug der Wegweisung nach Kabul unter Umständen als zumutbar qualifiziert werden (vgl. a.a.O E. 9.9.2). Solche Umstände könnten grundsätzlich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(vgl. a.a.O). Unabdingbar sei in erster Linie ein soziales Netz, das sich im Hinblick auf die Aufnahme und Wiedereingliederung des Rückkehrers als tragfähig erweise. Ohne die Unterstützung durch Familie oder Bekannte würden die schwierigen Lebensverhältnisse auch in Kabul unweigerlich in eine existenzielle beziehungsweise lebensbedrohende Situation führen. Kämen in einer solchen Situation noch gesundheitliche Umstellungsschwierigkeiten hinzu, geriete auch ein junger gesunder Mann ohne soziale Vernetzung unweigerlich innert absehbarer Zeit in eine existenzbedrohende Situation. Im Übrigen betone auch der Schweizer Botschafter in Islamabad die vorrangige Bedeutung eines tragfähigen sozialen Netzes für einen Rückkehrer zur Vermeidung unüberbrückbarer Schwierigkeiten (vgl. a.a.O).</w:t>
      </w:r>
    </w:p>
    <w:p>
      <w:r>
        <w:rPr>
          <w:b/>
        </w:rPr>
        <w:t>E. 6.6</w:t>
      </w:r>
    </w:p>
    <w:p>
      <w:r>
        <w:t>Es bleibt demnach zu prüfen, ob individuelle Gründe vorliegen, die eine Rückkehr des jungen und offensichtlich gesunden Beschwerdeführers, eines Tadschiken aus Kabul, nach Afghanistan als unzumutbar erscheinen lassen.</w:t>
      </w:r>
    </w:p>
    <w:p>
      <w:r>
        <w:rPr>
          <w:b/>
        </w:rPr>
        <w:t>E. 6.6.1</w:t>
      </w:r>
    </w:p>
    <w:p>
      <w:r>
        <w:t>Gemäss Aktenlage ist der Beschwerdeführer gesund. Anlässlich der Anhörung vom 1. Dezember 2010 gab er ausdrücklich zu Protokoll, es gehe ihm (gesundheitlich) gut (vgl. Akten der Vorinstanz A6/11 S. 8 [F. 73]). Somit lassen im vorliegenden Fall keine medizinischen Gründe den Wegweisungsvollzug als unzumutbar erscheinen.</w:t>
      </w:r>
    </w:p>
    <w:p>
      <w:r>
        <w:rPr>
          <w:b/>
        </w:rPr>
        <w:t>E. 6.6.2</w:t>
      </w:r>
    </w:p>
    <w:p>
      <w:r>
        <w:t>Den Angaben des Beschwerdeführers zufolge leben in Kabul seine Eltern und Geschwister (vgl A1/8 S. 3) sowie seine Onkel und Tanten (vgl. A6/11 S. 7 f. F. 68 f.). Er habe dort sechs Jahre lang die Schule besucht (vgl. A1/8 S. 2) und als Schneider gearbeitet (vgl. a.a.O) beziehungsweise, er sei im familieneigenen Betrieb (schon sein Vater und Grossvater seien Schneider gewesen) tätig gewesen (vgl. A6/11 S. 7 F.). Der Beschwerdeführer verfügt demnach über ein Familiennetz und kann daher zu seinen Eltern und Geschwistern zurückkehren, mit denen er bis zu seiner Ausreise aus der Heimat zusammenlebte, weshalb seine Wohnsituation als gesichert gilt. Auf Beschwerdeebene machte der Beschwerdeführer zwar geltend, seine Familie lebe jetzt, nach dem Verkauf des Hauses bei einem Onkel. Es kann jedoch bei Wahrunterstellung des Hausverkaufs davon ausgegangen werden, dass der Beschwerdeführer auch dort von seiner Familie aufgenommen wird und mit ihnen leben kann. Auch lässt die Tatsache, dass die Familie des Beschwerdeführers diesem in Kabul eine sechsjährige Schulbildung ermöglicht und offensichtlich dessen Ausreise organisiert und deren Finanzierung geregelt hat, auf ausreichende finanzielle Ressourcen schliessen. In Afghanistan ist die Analphabetenrate mit zirka 70% im internationalen Vergleich sehr hoch. Invasion, Bürgerkrieg und die Kulturfeindlichkeit der Taliban liessen grosse Teile der Bevölkerung ohne jeden Zugang zu Bildung aufwachsen (vgl. www.wikipedia.org/wiki/Afghanistan aufgerufen am 28. Juni 2011). Folglich lässt allein der Umstand, dass der Beschwerdeführer in der Lage war, eine Schule zu besuchen, darauf schliessen, dass er aus relativ begüterten Verhältnissen stammt und privilegiert aufwachsen konnte. Aufgrund dieser begünstigenden Faktoren ist nicht davon auszugehen, dass er bei einer Rückkehr nach Kabul in eine existenzielle Notlage geraten wird. Der Vollzug der Wegweisung ist daher in Würdigung aller Umstände als zumutbar zu bezeichnen.</w:t>
      </w:r>
    </w:p>
    <w:p>
      <w:r>
        <w:rPr>
          <w:b/>
        </w:rPr>
        <w:t>E. 6.7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6.8</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25. Januar 2011 wurden die Gesuche um Gewährung der unentgeltlichen Rechtspflege sowie um Verzicht auf die Erhebung eines Kostenvorschusses gutgeheissen, weshalb keine Verfahrenskosten gesprochen werden. Ausgangsgemäss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