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D-6135/2018 vom 11. Dezember 2018</w:t>
      </w:r>
    </w:p>
    <w:p>
      <w:r>
        <w:t>Bundesverwaltungsgericht, 2018-12-11, DE</w:t>
      </w:r>
    </w:p>
    <w:p>
      <w:r>
        <w:rPr>
          <w:b/>
        </w:rPr>
        <w:t xml:space="preserve">Quelle: </w:t>
      </w:r>
      <w:r>
        <w:t>https://mcp.opencaselaw.ch/entscheid/bvger_D-6135_2018</w:t>
      </w:r>
    </w:p>
    <w:p>
      <w:r>
        <w:t>FR: TAF D-6135/2018 du 11 décembre 2018</w:t>
      </w:r>
    </w:p>
    <w:p>
      <w:r>
        <w:t>IT: TAF D-6135/2018 del 11 dicembre 2018</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37 VGG i.V.m. Art. 48 VwVG). Auf die frist- und formgerecht eingereichte Beschwerde ist einzutreten (Art. 108 Abs. 1 AsylG und Art. 37 VGG i.V.m. Art. 52 Abs. 1 VwVG).</w:t>
      </w:r>
    </w:p>
    <w:p>
      <w:r>
        <w:rPr>
          <w:b/>
        </w:rPr>
        <w:t>E. 2</w:t>
      </w:r>
    </w:p>
    <w:p>
      <w:r>
        <w:t>2.1 Mit Beschwerde in Asylsachen kann die Verletzung von Bundesrecht (einschliesslich Missbrauch und Überschreitung des Ermessens) sowie die unrichtige und unvollständige Feststellung des rechtserheblichen Sachverhalts gerügt werden (Art. 106 Abs. 1 AsylG). Im Ausländerrecht richtet sich die Kognition nach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3.2</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4.4.1 In ihren Entscheiderwägungen hielt die Vorinstanz fest, die Schilderungen des Beschwerdeführers zu den geltend gemachten Repressalien durch das CID (Festnahme, Inhaftierung, Misshandlungen) seien zeitlich widersprüchlich, ausweichend, vage und detailarm ausgefallen, enthielten kaum Realkennzeichen und vermöchten somit nicht den Eindruck von tatsächlich Erlebtem zu erwecken. Auch die Umstände seiner Freilassung aus der Haft habe der Beschwerdeführer lediglich summarisch geschildert und er habe keine Dokumente eingereicht, die die geltend gemachte Inhaftierung belegen würden. Die erneuten Behelligungen durch das CID kurz vor seiner Ausreise würden konstruiert und nur darauf angelegt erscheinen, der Ausreise ein Motiv zu verleihen. Aus all diesen Gründen - so das sinngemässe Schlussfazit des SEM - erfülle der Beschwerdeführer die Flüchtlingseigenschaft nicht, weshalb sein Asylgesuch abzulehnen sei. 4.2 Der Beschwerdeführer stellt sich demgegenüber in der Beschwerde auf den Standpunkt, dass er die geltend gemachten Repressalien durch das CID glaubhaft geschildert habe. So habe er seine Festnahme durch das CID in der Anhörung beschrieben und auf Nachfrage konkretisiert. Er sei entgegen der vorinstanzlichen Einschätzung der Frage nach dem genauen Ablauf seiner Festnahme auch nicht ausgewichen. Unzutreffend sei auch die vorinstanzliche Schlussfolgerung, dass er zu den Haftumständen keinerlei Angaben gemacht habe. Er habe die Umstände seiner Haft sehr wohl erwähnt und sei auch auf die erlebten Misshandlungen eingegangen. Weil die Vorinstanz auf weitere Nachfragen verzichtet habe, sei er davon ausgegangen, dass seine Ausführungen genügten. Dass er seine Inhaftierung nicht dokumentieren könne, spreche nicht gegen seine Glaubwürdigkeit. Zur Zeit seiner Inhaftierung im Jahr 2012 habe es nämlich keine Polizeiverwaltung in seinem Gebiet gegeben und die heimatlichen Behörden hätten sicher kein Interesse daran, ihm Dokumente auszuhändigen, die seine unrechtmässige Haft belegten. Das SEM halte ihm sodann zu Unrecht vor, dass er die Umstände seiner Freilassung vage und undetailliert wiedergegeben habe. Er habe in der Anhörung alles erzählt, was er zu den Umständen seiner Freilassung wisse. Seine Schilderungen seien insgesamt somit glaubhaft ausgefallen und es erscheine nachvollziehbar, dass das CID kurz vor seiner Ausreise nochmals nach ihm gesucht habe. Er bestreite jedoch nicht, dass er zum Zeitpunkt seiner Festnahme, zur Dauer der Haft, zur Meldepflicht und zur erneuten Vorladung in den Befragungen zeitlich widersprüchliche Angaben gemacht habe. Er erkläre sich dies mit seiner grossen Nervosität und Überforderung. 4.3 Entgegen der sinngemässen Beanstandung durch den Beschwerdeführer hat die Vorinstanz die Beweisregel von Art. 7 AsylG nicht zu restriktiv gehandhabt. Bei eingehender Prüfung der Befragungsprotokolle wird bald deutlich, dass das SEM zu Recht Ungereimtheiten, einen fehlenden Realitätsbezug und eine unzureichende Substanz in den Aussagen des Beschwerdeführers festgestellt hat. Die Würdigung dieser Unzulänglichkeiten als Erkennungsmerkmale für die Unglaubhaftigkeit der betreffenden Vorbringen im Sinne von Art. 7 Abs. 3 AsylG ist nicht zu beanstanden. So hat sich der Beschwerdeführer in Übereinstimmung mit der Vorinstanz Ungereimtheiten hinsichtlich der Art und Weise entgegenhalten zu lassen, in welcher er gemäss seinen Angaben vom CID angegangen worden sein will. Im Gegensatz zur klaren Aussage in der Summarbefragung, dass er zwei bis drei Tage nach seiner Rückkehr aus Indien nach Sri Lanka vom CID festgenommen und einen Monat inhaftiert worden sei, liess er in der Anhörung verlauten, dass er erst einen Monat nach seiner Rückkehr von Indien nach Sri Lanka vom CID festgenommen und zirka ein halbes Jahr inhaftiert worden sei. Diese Widersprüche werden in der Beschwerde trotz darauf Bezug nehmender Einwendungen (vgl. daselbst, S. 6 f.) nicht aufgelöst und lassen sich auch nicht schlüssig auf die angebliche Nervosität und Überforderung des Beschwerdeführers zurückführen. In der Tat ist von einem Menschen, der über aussergewöhnliche und zwangsläufig einprägsame Erlebnisse wie eine von Gewaltanwendung geprägte Haft berichtet, natürlicherweise zu erwarten, dass er das Naheliegende in den Vordergrund stellt. Demnach ist es schlechterdings nicht nachvollziehbar, dass der Beschwerdeführer anlässlich der - vergleichsweise ausführlichen - Summarbefragung sowie im freien Bericht der Anhörung diese Zeitabschnitte derart unterschiedlich wiedergibt. Gleichermassen widersprüchlich äusserte sich der Beschwerdeführer auch im Zusammenhang mit der ihm angeblich auferlegten Meldepflicht. In der Summarbefragung gab er zu Protokoll, dass diese Pflicht bis Ende 2014 gegolten habe, wogegen er in der Anhörung im Unterschied hierzu erklärte, er habe lediglich bis Juli 2013 einer solchen Pflicht unterstanden. Sodann ist mit der Vorinstanz einig zu gehen, dass die Aussagen des Beschwerdeführers zu den angeblich durch die sri-lankischen Behörden gegen ihn gerichteten Repressalien grundsätzlich als substanzarm bezeichnet werden müssen, er - entgegen der Beschwerde - mithin anlässlich der Befragungen keine vertieften, mit Realkennzeichen versehene Sachverhaltsschilderungen machte. Die Tatsache, dass er in seiner freien Erzählung zahlreiche Angaben zu den Haftumständen und zu den Misshandlungen gemacht habe, wie in der Beschwerde darauf hingewiesen, ist für sich alleine noch kein Indiz für die Glaubhaftigkeit der Vorbringen, zumal diese die notwendige Substanz vermissen lassen. Auch die vage Schilderung seiner Freilassung, bei der ihm sodann einflussreiche Kontakte seines Vaters nützlich gewesen sein sollen, überzeugt nicht, was auch die Vorinstanz zutreffend erkannt hat. Im Lichte der vorstehenden Erwägungen erscheint somit auch sein Vorbringen, dass er kurz vor seiner Ausreise nochmals vom CID aufgespürt worden sein will, unglaubhaft. Insgesamt scheint hinter dem Aussageverhalten des Beschwerdeführers der Versuch erkennbar, einstudierte Informationen über tatsächliche Begebenheiten in seiner Heimatregion als Gerüst für eine vorgespiegelte Verfolgungsgeschichte zu benutzen. Hierauf deuten insbesondere seine offensichtlichen Schwierigkeiten hin, seine eigene Handlungsweise in den behaupteten Geschehnisverlauf einzubetten und eine nicht angebrachte Zurückhaltung abzulegen beim Hervorheben der logischerweise wichtigen Punkte. An dieser Einschätzung vermögen auch die eingereichten Beweismittel (vgl. Bst. C vorstehend) nichts zu ändern. Den kommentarlos und in Kopie eingereichten Bestätigungsschreiben und dem Affidavit ist ein geringer Beweiswert zu attestieren, zumal die Dokumente keinerlei Sicherheitsmerkmale aufweisen und nach dem Gesagten als Gefälligkeitsschreiben zu bewerten sind. 4.4 Die Vorinstanz hat demnach zu Recht festgestellt, dass es dem Beschwerdeführer nicht gelungen ist, das Bestehen einer begründeten Furcht vor Verfolgung durch die sri-lankischen Behörden im Zeitpunkt seiner Ausreise im März 2016 darzulegen. Zu prüfen bleibt, ob ihm wegen seiner Zugehörigkeit zur tamilischen Ethnie bei einer Rückkehr in sein Heimatland ernsthafte Nachteile drohen würden. 4.5 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 4.6 Entgegen den Vorbringen auf Beschwerdeebene erfüllt der Beschwerdeführer keinen der stark risikobegründenden Faktoren. Gestützt auf die vorangehenden Erwägungen kann ihm nämlich nicht geglaubt werden, dass er zum Zeitpunkt seiner Ausreise aufgrund angeblicher Verbindungen zu den LTTE behördlich gesucht war. Sodann liegen die von ihm geltend gemachten Verbindungen einzelner Familienangehöriger zu den LTTE bereits Jahrzehnte zurück und eigenen Angaben gemäss wurde er auch nie zu diesen Verbindungen befragt. Aus den Akten sind auch keine exilpolitischen Tätigkeiten ersichtlich und solche werden auch nicht geltend gemacht. Schliesslich vermögen am fehlenden Risikoprofil des Beschwerdeführers auch die weiteren schwach risikobegründenden Faktoren der fehlenden Identitätspapiere (Reisepass), der angeblichen illegalen Ausreise und dem Aufenthalt und dem Asylgesuch in der Schweiz nichts zu ändern. Zudem weist er offenbar keine Narben am Körper auf. Auch im Sinne einer Gesamtwürdigung lässt sich eine Gefährdung des Beschwerdeführers im oben dargelegten Sinn vorliegend nicht erkennen. Es ist somit davon auszugehen, dass er nicht in der «Stop-List» aufgeführt ist. 4.7 Zusammenfassend ergibt sich, dass keine asylrechtlich relevanten Verfolgungsgründe ersichtlich sind, weshalb die Vorinstanz zu Recht die Flüchtlingseigenschaft verneint und das Asylgesuch abgelehnt hat. 5.Gemäss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6.1</w:t>
      </w:r>
    </w:p>
    <w:p>
      <w:r>
        <w:t>Ist der Vollzug der Wegweisung nicht zulässig, nicht zumutbar oder nicht möglich, so regelt die Vorinstanz das Anwesenheitsverhältnis nach den gesetzlichen Bestimmungen über die vorläufige Aufnahme (Art. 44 AsylG; Art. 83 Abs. 1 AuG [SR 142.20]).</w:t>
      </w:r>
    </w:p>
    <w:p>
      <w:r>
        <w:rPr>
          <w:b/>
        </w:rPr>
        <w:t>E. 6.2</w:t>
      </w:r>
    </w:p>
    <w:p>
      <w:r>
        <w:t>Nach Art. 83 Abs. 3 AuG ist der Vollzug nicht zulässig, wenn völkerrechtliche Verpflichtungen der Schweiz eine Weiterreise der Ausländerin oder des Ausländers in den Heimat-, Herkunfts- oder einen Drittstaat entgegenstehen. Vorliegend kommt dem Beschwerdeführer die Flüchtlingseigenschaft nicht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Der EGMR hat sich mit der Gefährdungssituation von Tamilen, die aus einem europäischen Land nach Sri Lanka zurückkehren müssen, im Hinblick auf eine EMRK-widrige Behandlung wiederholt befasst (vgl. EGMR, R.J. gegen Frankreich, Urteil vom 19. September 2013, Beschwerde Nr. 10466/11;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der Betroffene ernsthafte Gründe für die Befürchtung habe, die Behörden hätten an seiner Festnahme und Befragung ein Interesse, verschiedene Aspekte - welche im Wesentlichen durch die in Erwägung 4.5 identifizierten Risikofaktoren abgedeckt sind (vgl. EGMR, T.N. gegen Dänemark, a.a.O., § 94) - in Betracht gezogen werden, wobei dem Umstand gebührend Beachtung zu schenken sei, dass diese einzelnen Aspekte, auch wenn sie für sich alleine betrachtet möglicherweise kein «real risk» darstellten, diese Schwelle bei einer kumulativen Würdigung erreichen könnten. Nachdem der Beschwerdeführer - wie in den vorstehenden Erwägungen ausgeführt - nicht darlegen konnte, dass er befürchten müsse, bei einer Rückkehr ins Heimatland die Aufmerksamkeit der sri-lankischen Behörden in einem flüchtlingsrechtlich relevanten Ausmass auf sich zu ziehen, bestehen keine Anhaltspunkte dafür, ihm würde aus demselben Grund eine menschenrechtswidrige Behandlung in Sri Lanka drohen.</w:t>
      </w:r>
    </w:p>
    <w:p>
      <w:r>
        <w:rPr>
          <w:b/>
        </w:rPr>
        <w:t>E. 6.3</w:t>
      </w:r>
    </w:p>
    <w:p>
      <w:r>
        <w:t>Nach Art. 83 Abs. 4 AuG kann der Vollzug für Ausländerinnen und Ausländer unzumutbar sein, wenn sie im Heimat- oder Herkunftsstaat auf Grund von Situationen wie Krieg, Bürgerkrieg, allgemeiner Gewalt und medizinischer Notlage konkret gefährdet sind. Nach einer eingehenden Analyse der Sicherheitslage in Sri Lanka ist das Bundesverwaltungsgericht zum Schluss gekommen, dass der Wegweisungsvollzug in die Nordprovinz (damals noch offengelassen für das «Vanni-Gebiet») zumutbar ist, wenn das Vorliegen der individuellen Zumutbarkeitskriterien (insbesondere Existenz eines tragfähigen familiären oder sozialen Beziehungsnetzes sowie Aussichten auf eine gesicherte Einkommens- und Wohnsituation) bejaht werden kann (Urteil E-1866/2015 E. 13.2). Der Beschwerdeführer hat bis zu seiner Ausreise zusammen mit seiner Ehefrau und seinem Sohn in B._______ (Jaffna Distrikt, Nord-Provinz) gelebt. Er verfügt über einen College-Schulabschluss und über Berufserfahrung als (...) und (...). Es kann angenommen werden, dass er bei einer Rückkehr wieder bei seiner Familie wohnen und wirtschaftlich für sich wird sogen können. Zudem ist er jung und gesund.</w:t>
      </w:r>
    </w:p>
    <w:p>
      <w:r>
        <w:rPr>
          <w:b/>
        </w:rPr>
        <w:t>E. 6.4</w:t>
      </w:r>
    </w:p>
    <w:p>
      <w:r>
        <w:t>Nach Art. 83 Abs. 2 AuG ist der Vollzug auch als möglich zu bezeichnen, weil es dem Beschwerdeführer obliegt, bei der zuständigen Vertretung seines Heimatstaats die für seine Rückkehr notwendigen Reisedokumente zu beschaffen (Art. 8 Abs. 4 AslyG; BVGE 2008/34 E. 12).</w:t>
      </w:r>
    </w:p>
    <w:p>
      <w:r>
        <w:rPr>
          <w:b/>
        </w:rPr>
        <w:t>E. 6.5</w:t>
      </w:r>
    </w:p>
    <w:p>
      <w:r>
        <w:t>Die Vorinstanz hat somit den Wegweisungsvollzug zu Recht als zulässig, zumutbar und möglich bezeichnet. Die Anordnung der vorläufigen Aufnahme fällt somit ausser Betracht (Art. 83 Abs. 1-4 AuG).</w:t>
      </w:r>
    </w:p>
    <w:p>
      <w:r>
        <w:rPr>
          <w:b/>
        </w:rPr>
        <w:t>E. 7</w:t>
      </w:r>
    </w:p>
    <w:p>
      <w:r>
        <w:t>Aus diesen Erwägungen ergibt sich, dass die angefochtene Verfügung Bundesrecht nicht verletzt und auch sonst nicht zu beanstanden ist (Art. 106 AsylG und Art. 49 VwVG). Die Beschwerde ist abzuweisen. Auf den Prozessantrag auf Gewährung der aufschiebenden Wirkung ist mangels Rechtsschutzinteresses nicht einzutreten, zumal einer Beschwerde von Gesetzes wegen aufschiebende Wirkung zukommt und diese vorliegend nicht entzogen wurde.</w:t>
      </w:r>
    </w:p>
    <w:p>
      <w:r>
        <w:rPr>
          <w:b/>
        </w:rPr>
        <w:t>E. 8</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 Aus demselben Grund kann auch dem Gesuch um unentgeltliche Rechtsverbeiständung nicht stattgegeben werden. Bei diesem Ausgang des Verfahrens sind die Kosten von Fr. 750.- (Art. 1-3 des Reglements vom 21. Februar 2008 über die Kosten und Entschädigungen vor dem Bundesverwaltungsgericht [VGKE], SR 173.320.2) somit dem Beschwerdeführer aufzuerlegen (Art. 63 Abs. 1 VwVG). Mit dem vorliegenden Urteil ist der Antrag auf Verzicht eines Kostenvorschusses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