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D-6132/2023 vom 15. November 2023</w:t>
      </w:r>
    </w:p>
    <w:p>
      <w:r>
        <w:t>Bundesverwaltungsgericht, 2023-11-15, DE</w:t>
      </w:r>
    </w:p>
    <w:p>
      <w:r>
        <w:rPr>
          <w:b/>
        </w:rPr>
        <w:t xml:space="preserve">Quelle: </w:t>
      </w:r>
      <w:r>
        <w:t>https://mcp.opencaselaw.ch/entscheid/bvger_D-6132_2023</w:t>
      </w:r>
    </w:p>
    <w:p>
      <w:r>
        <w:t>FR: TAF D-6132/2023 du 15 novembre 2023</w:t>
      </w:r>
    </w:p>
    <w:p>
      <w:r>
        <w:t>IT: TAF D-6132/2023 del 15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 Die Beschwerdeführerin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Falle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Dublin-III-VO statt (vgl. zum Ganzen BVGE 2017 VI/5 E. 6.2 und 8.2.1 m.w.H.).</w:t>
      </w:r>
    </w:p>
    <w:p>
      <w:r>
        <w:rPr>
          <w:b/>
        </w:rPr>
        <w:t>E. 4.3</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w:t>
      </w:r>
    </w:p>
    <w:p>
      <w:r>
        <w:t>Ein Abgleich der Fingerabdrücke der Beschwerdeführerin mit der "Eurodac"-Datenbank ergab, dass diese am (...) in Frankreich ein Asylgesuch eingereicht hatte. Die französischen Behörden stimmten dem Ersuchen des SEM um Wiederaufnahme der Beschwerdeführerin am 27. August 2023 gestützt auf Art. 18 Abs. 1 Bst. d Dublin-III-VO zu. Die staatsvertragliche Zuständigkeit Frankreichs ist vor diesem Hintergrund grundsätzlich gegeben; sie wird von der Beschwerdeführerin denn auch nicht bestritten.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Das Bundesverwaltungsgericht geht in ständiger Rechtsprechung davon aus, dass das französische Asylsystem keine systemischen Mängel im Sinne von Art. 3 Abs. 2 zweiter Satz Dublin-III-VO aufweist (vgl. statt vieler: Urteil des BVGer F-4731/2023 vom 8. September 2023).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Insbesondere vermag die Beschwerdeführerin nicht darzutun, dass die sie bei einer Rückführung nach Frankreich zu erwartenden Bedingungen derart schlecht sind, dass sie zu einer Verletzung von Art. 3 EMRK führen könnten. Dies gilt auch in Bezug auf die auf Beschwerdeebene neu vorgebrachten - aber nicht näher ausgeführten - «schlimmen Erlebnisse» in Frankreich. Die Beschwerdeführerin hat zudem keine konkreten Hinweise für die Annahme dargelegt, Frankreich würde ihr dauerhaft die ihr gemäss Aufnahmerichtlinie zustehenden minimalen Lebensbedingungen vorenthalten.</w:t>
      </w:r>
    </w:p>
    <w:p>
      <w:r>
        <w:rPr>
          <w:b/>
        </w:rPr>
        <w:t>E. 7.4</w:t>
      </w:r>
    </w:p>
    <w:p>
      <w:r>
        <w:t>Es ist sodann festzustellen, dass die französischen Behörden das Asylgesuch der Beschwerdeführerin offenbar abgelehnt haben. Die blosse Tatsache, dass ein Asylgesuch abgelehnt wurde, stellt jedoch noch keine Verletzung des Non-Refoulement-Prinzips dar (vgl. Urteil des BVGer E-5512/2023 vom 1. November 2023 E. 9.2.3 m.w.H.), und es bestehen auch keine Hinweise darauf, dass das französische Asylverfahren nicht in rechtsstaatlich korrekter Weise und unter Beachtung der anwendbaren völkerrechtlichen Bestimmungen, namentlich auch des Non-Refoulement-Gebots, durchgeführt worden ist. Es steht der Beschwerdeführerin frei, allfällige neue Asylgründe oder Wegweisungshindernisse bei den dortigen Behörden vorzubringen.</w:t>
      </w:r>
    </w:p>
    <w:p>
      <w:r>
        <w:rPr>
          <w:b/>
        </w:rPr>
        <w:t>E. 7.5</w:t>
      </w:r>
    </w:p>
    <w:p>
      <w:r>
        <w:t>Soweit die Beschwerdeführerin vorbringt, sie wolle lieber in der Schweiz sein, ist darauf hinzuweisen, dass die Dublin-III-VO asylsuchenden Personen kein Recht einräumt, den Antrag prüfenden Staat selber auszuwählen zu können (vgl. BVGE 2010/45 E. 8.3). Das Prinzip der Überprüfung eines Asylgesuchs durch einen einzigen Mitgliedstaat («one chance only») dient im Gegenteil der Vermeidung von multiplen Asylgesuchen in verschiedenen Staaten (sogenanntes «asylum shopping»; vgl. BVGE 2017 VI/5 E. 8.5.3.3).</w:t>
      </w:r>
    </w:p>
    <w:p>
      <w:r>
        <w:rPr>
          <w:b/>
        </w:rPr>
        <w:t>E. 7.6.1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w:t>
      </w:r>
    </w:p>
    <w:p>
      <w:r>
        <w:rPr>
          <w:b/>
        </w:rPr>
        <w:t>E. 7.6.2</w:t>
      </w:r>
    </w:p>
    <w:p>
      <w:r>
        <w:t>Den Akten ist zu entnehmen, dass die Beschwerdeführerin am (...) aufgrund einer (...) in das (...) eingewiesen und von dort für einige Tage in die (...) ([...]) verlegt wurde (vgl. act. SEM 1268480-13/10). Weiter wurde im Arztbericht vom (...) festgehalten, dass die Beschwerdeführerin (...), aktuell aber kein Anhalt auf ein (...) bestehe. Es wurde eine Therapie mit (...) und eine ambulante psychiatrische Anbindung empfohlen (vgl. act. SEM 1268480-17/3). Im Arztbericht vom (...) wurde festgehalten, dass kein Hinweis auf eine Selbst- oder Fremdgefährdung, aber insgesamt ein deutlich (...) Zustandsbild bestehe. Es wurde eine Therapie mit (...) empfohlen (vgl. act. SEM 1268480-20/3).</w:t>
      </w:r>
    </w:p>
    <w:p>
      <w:r>
        <w:rPr>
          <w:b/>
        </w:rPr>
        <w:t>E. 7.6.3</w:t>
      </w:r>
    </w:p>
    <w:p>
      <w:r>
        <w:t>Das Gericht verkennt nicht, dass die Beschwerdeführerin psychisch belastet ist. Die bestehenden gesundheitlichen Beeinträchtigungen sind jedoch nicht von derartiger Schwere, dass sie die Feststellung der Unzulässigkeit im Sinne der genannten, restriktiven Rechtsprechung rechtfertigen könnten. Zudem können die genannten Beschwerden in Frankreich (weiter-)behandelt werden. Frankreich verfügt über eine ausreichende medizinische Infrastruktur, welche die Beschwerdeführerin in Anspruch nehmen kann (vgl. Urteil des BVGer D-5781/2023 vom 26. Oktober 2023 E. 6.3.4 m.w.H.). Indizien dafür, dass Frankreich der Beschwerdeführerin eine adäquate medizinische Behandlung, darunter namentlich die Weiterführung der bisherigen Medikation und eine allenfalls erforderliche psychiatrische Behandlung, verweigern würde, liegen nicht vor. Die geltend gemachten Beschwerden könnten alsdann höchstens die Reisefähigkeit tangieren, welche im Zeitpunkt der tatsächlichen Überstellung konkret abzuklären ist. Der aktuelle Gesundheitszustand der Beschwerdeführerin führt somit für den Fall einer Überstellung nach Frankreich nicht zur Annahme einer drohenden Verletzung von Art. 3 EMRK. Es besteht folglich keine Veranlassung weitere Arztberichte einzuholen oder solche abzuwarten.</w:t>
      </w:r>
    </w:p>
    <w:p>
      <w:r>
        <w:rPr>
          <w:b/>
        </w:rPr>
        <w:t>E. 7.7</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w:t>
      </w:r>
    </w:p>
    <w:p>
      <w:r>
        <w:rPr>
          <w:b/>
        </w:rPr>
        <w:t>E. 8</w:t>
      </w:r>
    </w:p>
    <w:p>
      <w:r>
        <w:t>Die Vorinstanz ist demnach zu Recht in Anwendung von Art. 31a Abs. 1 Bst. b AsylG auf das Asylgesuch der Beschwerdeführerin nicht eingetreten und hat - weil sie nicht im Besitz einer gültigen Aufenthalts- oder Niederlassungsbewilligung ist - in Anwendung von Art. 44 AsylG ihre Überstellung nach Frankreich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Die Gesuche um Gewährung der aufschiebenden Wirkung und um Verzicht auf die Erhebung eines Kostenvorschusses werden mit dem vorliegenden Urteil gegenstandslos.</w:t>
      </w:r>
    </w:p>
    <w:p>
      <w:r>
        <w:rPr>
          <w:b/>
        </w:rPr>
        <w:t>E. 10.2</w:t>
      </w:r>
    </w:p>
    <w:p>
      <w:r>
        <w:t>Das Gesuch um Gewährung der unentgeltlichen Prozessführung ist abzuweisen, da die Begehren - wie sich aus den vorstehenden Erwägungen ergibt - als aussichtslos zu bezeichnen sind (Art. 65 Abs. 1 VwVG).</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