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D-6130/2024 vom 1. Oktober 2024</w:t>
      </w:r>
    </w:p>
    <w:p>
      <w:r>
        <w:t>Bundesverwaltungsgericht, 2024-10-01, DE</w:t>
      </w:r>
    </w:p>
    <w:p>
      <w:r>
        <w:rPr>
          <w:b/>
        </w:rPr>
        <w:t xml:space="preserve">Quelle: </w:t>
      </w:r>
      <w:r>
        <w:t>https://mcp.opencaselaw.ch/entscheid/bvger_D-6130_2024</w:t>
      </w:r>
    </w:p>
    <w:p>
      <w:r>
        <w:t>FR: TAF D-6130/2024 du 1 octobre 2024</w:t>
      </w:r>
    </w:p>
    <w:p>
      <w:r>
        <w:t>IT: TAF D-6130/2024 del 1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 legitimiert (Art. 48 Abs. 1 VwVG). Auf die frist- und formgerecht eingereichte Beschwerde ist einzutreten (Art. 108 Abs. 3 AsylG und Art. 52 Abs. 1 VwVG).</w:t>
      </w:r>
    </w:p>
    <w:p>
      <w:r>
        <w:rPr>
          <w:b/>
        </w:rPr>
        <w:t>E. 2</w:t>
      </w:r>
    </w:p>
    <w:p>
      <w:r>
        <w:t>Hinsichtlich des Prozessgegenstandes ist festzustellen, dass zur Dispositivziffer 6 der vorinstanzlichen Verfügung (Datenänderung im ZEMIS) weder ein konkreter Antrag noch eine entsprechende Begründung vorliegt; die diesbezügliche Beschwerdefrist läuft noch. Gegenstand des vorliegenden Beschwerdeverfahrens sind das vom SEM verfügte Nichteintreten auf das Asylgesuch des Beschwerdeführers und die angeordnete Überstellung in den zuständigen Dublin-Staat Kroatien.</w:t>
      </w:r>
    </w:p>
    <w:p>
      <w:r>
        <w:rPr>
          <w:b/>
        </w:rPr>
        <w:t>E. 3</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4</w:t>
      </w:r>
    </w:p>
    <w:p>
      <w:r>
        <w:t>Über offensichtlich unbegründete Beschwerden - wie die vorliegende - wird in einzelrichterlicher Zuständigkeit mit Zustimmung eines zweiten Richters beziehungsweise einer zweiten Richterin entschieden (Art. 111 Bst. e AsylG). Der Beschwerdeentscheid ist nur summarisch zu begründen (Art. 111a Abs. 2 AsylG). Auf einen Schriftenwechsel wurde in Anwendung von Art. 111a Abs. 1 AsylG verzichtet.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Dublin-III-VO.</w:t>
      </w:r>
    </w:p>
    <w:p>
      <w:r>
        <w:rPr>
          <w:b/>
        </w:rPr>
        <w:t>E. 5.2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2017 VI/5 E. 6.2 und 8.2.1).</w:t>
      </w:r>
    </w:p>
    <w:p>
      <w:r>
        <w:rPr>
          <w:b/>
        </w:rPr>
        <w:t>E. 5.3</w:t>
      </w:r>
    </w:p>
    <w:p>
      <w:r>
        <w:t>Im Falle eines UMA ohne familiäre Anknüpfungspunkte zu einem anderen Mitgliedstaat ist gemäss Art. 8 Abs. 4 Dublin-III-VO derjenige Staat zuständig, in welchem der aktuelle Antrag auf internationalen Schutz gestellt wird. Als Minderjähriger gilt ein Drittstaatsangehöriger unter 18 Jahren (Art. 2 Bst. i Dublin-III-VO; Art. 1a Bst. d der Asylverordnung 1 über Verfahrensfragen vom 11. August 1999 [AsylV 1, SR 142.311]). Unbegleitete Minderjährige sind vom Wiederaufnahmeverfahren ausgenommen (vgl. Filzwieser/Sprung, Dublin-III-VO, Wien 2014, Kap. 15 f. zu Art. 8, m.H.).</w:t>
      </w:r>
    </w:p>
    <w:p>
      <w:r>
        <w:rPr>
          <w:b/>
        </w:rPr>
        <w:t>E. 6.1</w:t>
      </w:r>
    </w:p>
    <w:p>
      <w:r>
        <w:t>Nach dem Gesagten bestünde bei glaubhafter Minderjährigkeit des Beschwerdeführers eine der grundsätzlichen Wiederaufnahmezuständigkeit Kroatiens entgegenstehende vorrangige Zuständigkeit der Schweiz. Die Minderjährigkeit ist von der gesuchstellenden Person zumindest glaubhaft im Sinne von Art. 7 AsylG zu machen (vgl. Entscheidungen und Mitteilungen der Asylrekurskommission [EMARK] 2004 Nr. 31 E. 5, 6.2 und 7.3; 2004 Nr. 30 E. 5-6; 2001 Nr. 23 E. 6c; 2000 Nr. 19 E. 8b).</w:t>
      </w:r>
    </w:p>
    <w:p>
      <w:r>
        <w:rPr>
          <w:b/>
        </w:rPr>
        <w:t>E. 6.2.1</w:t>
      </w:r>
    </w:p>
    <w:p>
      <w:r>
        <w:t>Das SEM qualifiziert die Angaben des Beschwerdeführers zur geltend gemachten Minderjährigkeit als unglaubhaft und begründet dies im Wesentlichen wie folgt: Er habe unterschiedliche Angaben zu seinem Geburtsdatum gemacht, wobei seine jeweiligen Erklärungen dazu als Schutzbehauptungen zu werten seien. Die vorgenommene Altersanalyse bestärke die Annahme der Volljährigkeit. Zur eingereichten Kopie der Taskira sei ergänzend festzuhalten, dass das Dokument weder über Sicherheitsmerkmale verfüge noch im Original vorliege. Weiter seien solche Dokumente in Afghanistan leicht käuflich erhältlich und leicht fälschbar.</w:t>
      </w:r>
    </w:p>
    <w:p>
      <w:r>
        <w:rPr>
          <w:b/>
        </w:rPr>
        <w:t>E. 6.2.2</w:t>
      </w:r>
    </w:p>
    <w:p>
      <w:r>
        <w:t>In der Beschwerde wird hinsichtlich der geltend gemachten Minderjährigkeit eingewandt, das aus dem Alterstest entstandene Mindestdurchschnittsalter liege mit 18.3 Jahren nur knapp über der Volljährigkeit, wobei sich aufgrund der Zahndaten kein Mindestalter bestimmen lasse. Es könne folglich nicht ausgeschlossen werden, dass der Beschwerdeführer noch minderjährig sein könnte.</w:t>
      </w:r>
    </w:p>
    <w:p>
      <w:r>
        <w:rPr>
          <w:b/>
        </w:rPr>
        <w:t>E. 6.3</w:t>
      </w:r>
    </w:p>
    <w:p>
      <w:r>
        <w:t>Das Gericht kommt im Rahmen einer Gesamtwürdigung aller Umstände (vgl. EMARK 2004 Nr. 30 E. 5.3.4) zum Schluss, dass es dem Beschwerdeführer nicht gelingt, seine Minderjährigkeit glaubhaft zu machen (vgl. zur Glaubhaftigkeit BVGE 2015/3 E. 6.5.1). Zwar trifft es zu, dass das Gutachten keine Angabe eines Mindestalters bei der zahnärztlichen Untersuchung nennt. Allerdings wird die Volljährigkeit aufgrund aller getätigten Untersuchungen bestätigt und explizit festgehalten, dass sich das vom Beschwerdeführer behauptete Geburtsdatum mit dem Mindestalter, das sich aus der Schlüsselbeinuntersuchung ergebe (19 Jahre), nicht vereinbaren lasse. Als nächstes ist festzustellen, dass der Beschwerdeführer keine Identitätspapiere im Sinne von Art. 1a Bst. c AsylV 1 zu den Akten gereicht hat, mit welchen er sein Geburtsdatum beweisen kann. Die zu den Akten gegebene Kopie einer Tazkira ist aus den vom SEM zutreffend aufgeführten Gründen nicht geeignet, seine Minderjährigkeit zu beweisen oder glaubhaft zu machen. Schliesslich verwies die Vorinstanz zu Recht auf die abweichenden Angaben des Beschwerdeführers, denen in der Beschwerdeschrift nichts entgegengehalten wird. Zusammenfassend hat der Beschwerdeführer keine rechtsgenüglichen Identitätspapiere zu den Akten gereicht und mit seinen oberflächlichen zeitlichen Angaben und widersprüchlichen Ausführungen zu seinem Geburtsdatum vermag er seine Minderjährigkeit - auch angesichts der Resultate des Altersgutachtens - nicht glaubhaft zu machen.</w:t>
      </w:r>
    </w:p>
    <w:p>
      <w:r>
        <w:rPr>
          <w:b/>
        </w:rPr>
        <w:t>E. 7</w:t>
      </w:r>
    </w:p>
    <w:p>
      <w:r>
        <w:t>Da die Minderjährigkeit des Beschwerdeführers nicht glaubhaft ist, fällt Art. 8 Abs. 4 Dublin-III-VO (Minderjährige) nicht als Kriterium zur Bestimmung des für das Asylverfahren zuständigen Mitgliedstaats in Betracht. Zu Recht geht das SEM von der Zuständigkeit Kroatiens aus, nachdem dieses dem Gesuch um Rückübernahme am 19. September 2024 fristgerecht gestützt auf Art. 20 Abs. 5 Dublin-III-VO zugestimmt hat. Dem Einwand des Beschwerdeführers, er habe in Kroatien nie beabsichtigt, ein Asylgesuch zu stellen, er habe mit den dortigen Behörden mangels Dolmetscher nicht kommunizieren können, erweist sich als nicht stichhaltig. Er bestreitet nicht, illegal nach Kroatien eingereist zu sein. Die Abnahme der Fingerabdrücke von illegal einreisenden ausländischen Personen und Asylsuchenden stützt sich auf Art. 14 Abs. 1 der Verordnung (EU) Nr. 603/2013 des Europäischen Parlaments und des Rates vom 26. Juni 2013 (Eurodac-Verordnung). Ein Mitgliedstaat ist auch dann für die Prüfung eines Antrags um internationalen Schutz zuständig, wenn die betreffende Person - ohne einen Asylantrag gestellt zu haben - illegal eingereist und erfasst worden ist (Art. 13 Abs. 1 Dublin-III-VO).</w:t>
      </w:r>
    </w:p>
    <w:p>
      <w:r>
        <w:rPr>
          <w:b/>
        </w:rPr>
        <w:t>E. 8</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Gemäss ständiger Rechtsprechung des Bundesverwaltungsgerichts weisen das Asylverfahren und die Aufnahmebedingungen in Kroatien keine systemischen Schwachstellen auf (vgl. statt vieler: Urteil des BVGer F-5539/2024 vom 19. September 2024 E. 9.1 mit Hinweis auf das Referenzurteil des BVGer E-1488/2020 vom 22. März 2023 E. 9.5). Demnach sind Dublin-Überstellungen nach Kroatien grundsätzlich sowohl in «take-charge» (Aufnahme) als auch in «take-back» (Wiederaufnahme) Verfahren zulässig. Daran vermögen auch die Verweise in der Beschwerde auf verschiedene Berichte unterschiedlicher Organisationen und das Urteil des BVGer F-5675/2021 vom 6. Januar 2022 nichts zu ändern.</w:t>
      </w:r>
    </w:p>
    <w:p>
      <w:r>
        <w:rPr>
          <w:b/>
        </w:rPr>
        <w:t>E. 9.1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9.2</w:t>
      </w:r>
    </w:p>
    <w:p>
      <w:r>
        <w:t>Bei der Beurteilung des Selbsteintritts gilt zu beachten,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verpflichtet ist, seinen diesbezüglichen völkerrechtlichen Verpflichtungen nachzukommen.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Vermutung, Kroatien halte seine völkerrechtlichen Verpflichtungen ein, kann im Einzelfall widerlegt werden. Dazu muss die gesuchstellende Person konkrete Indizien dartun können, dass im Falle ihrer Überstellung zwingende völkerrechtliche Bestimmungen verletzt würden (vgl. BVGE 2010/45 E. 7.4 f.).</w:t>
      </w:r>
    </w:p>
    <w:p>
      <w:r>
        <w:rPr>
          <w:b/>
        </w:rPr>
        <w:t>E. 9.3.1</w:t>
      </w:r>
    </w:p>
    <w:p>
      <w:r>
        <w:t>Der Beschwerdeführer machte im vorinstanzlichen Verfahren geltend, es gebe in Kroatien keine Zukunftsperspektive für Flüchtlinge. Auf Beschwerdeebene wird - nebst dem Vorliegen systemischer Mängel - vorgebracht, er habe in Kroatien kein Asylgesuch stellen wollen und nicht mit den Beamten kommunizieren können, da kein Dolmetscher hinzugezogen worden sei.</w:t>
      </w:r>
    </w:p>
    <w:p>
      <w:r>
        <w:rPr>
          <w:b/>
        </w:rPr>
        <w:t>E. 9.3.2</w:t>
      </w:r>
    </w:p>
    <w:p>
      <w:r>
        <w:t>Mit diesen Vorbringen vermag der Beschwerdeführer nicht darzutun, dass die ihn bei einer Rückführung nach Kroatien zu erwartenden Bedingungen derart schlecht sind, dass sie zu einer Verletzung von Art. 3 EMRK führen könnten. Bei einer allfälligen vorübergehenden Einschränkung der ihm zustehenden Aufnahmebedingungen könnte er sich im Übrigen nötigenfalls an die kroatischen Behörden wenden und seine Rechte auf dem Rechtsweg einfordern (vgl. Art. 26 der Aufnahmerichtlinie). Dies gilt auch in Bezug auf ein allfälliges Fehlverhalten der kroatischen Polizei. Des Weiteren steht ihm die Möglichkeit offen, die vor Ort tätigen karitativen Organisationen zu kontaktieren.</w:t>
      </w:r>
    </w:p>
    <w:p>
      <w:r>
        <w:rPr>
          <w:b/>
        </w:rPr>
        <w:t>E. 9.3.3</w:t>
      </w:r>
    </w:p>
    <w:p>
      <w:r>
        <w:t>Die Vorinstanz hat somit das Selbsteintrittsrecht von Art. 17 Dublin-III-VO sowie Art. 29a Abs. 3 AsylV 1 zu Recht nicht ausgeübt. Weder ist die Schweiz völkerrechtlich verpflichtet, auf das Asylgesuch einzutreten, noch sind humanitäre Gründe ersichtlich, welche einen Selbsteintritt nahelegen würden. Demnach besteht auch kein Raum für die in der Beschwerde erwähnte Einholung individueller Garantien (vgl. Beschwerde S. 4).</w:t>
      </w:r>
    </w:p>
    <w:p>
      <w:r>
        <w:rPr>
          <w:b/>
        </w:rPr>
        <w:t>E. 10</w:t>
      </w:r>
    </w:p>
    <w:p>
      <w:r>
        <w:t>Nach dem Gesagten ist Kroatien der zur Behandlung des Asylgesuchs des Beschwerdeführers zuständige Staat. Es bestand kein zwingender Grund für eine Anwendung der Ermessensklauseln von Art. 17 Dublin-III-VO und es sind keine Ermessensfehler in Bezug auf humanitäre Gründe im Sinne von Art. 29a Abs. 3 AsylV 1 festzustellen. Der nicht weiter begründete Rückweisungsantrag ist abzuweisen.</w:t>
      </w:r>
    </w:p>
    <w:p>
      <w:r>
        <w:rPr>
          <w:b/>
        </w:rPr>
        <w:t>E. 11</w:t>
      </w:r>
    </w:p>
    <w:p>
      <w:r>
        <w:t>Das SEM ist demnach zu Recht auf das Asylgesuch des Beschwerdeführers nicht eingetreten und hat seine Wegweisung nach Kroatien angeordnet (Art. 31a Abs. 1 Bst. b AsylG und Art. 44 AsylG). Die Beschwerde ist abzuweisen.</w:t>
      </w:r>
    </w:p>
    <w:p>
      <w:r>
        <w:rPr>
          <w:b/>
        </w:rPr>
        <w:t>E. 12.1</w:t>
      </w:r>
    </w:p>
    <w:p>
      <w:r>
        <w:t>Das Gesuch um Verzicht auf die Erhebung eines Kostenvorschusses ist mit vorliegendem Endentscheid gegenstandlos geworden. Das mit der Beschwerde gestellte Gesuch um Gewährung der unentgeltlichen Prozessführung ist abzuweisen, da die Begehren zum Zeitpunkt der Gesuchstellung als aussichtslos zu bezeichnen waren. Damit ist eine der kumulativen Voraussetzungen von Art. 65 Abs. 1 VwVG nicht erfüllt.</w:t>
      </w:r>
    </w:p>
    <w:p>
      <w:r>
        <w:rPr>
          <w:b/>
        </w:rPr>
        <w:t>E. 12.2</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