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D-612/2026 vom 27. Mai 2026</w:t>
      </w:r>
    </w:p>
    <w:p>
      <w:r>
        <w:t>Bundesverwaltungsgericht, 2026-05-27, DE</w:t>
      </w:r>
    </w:p>
    <w:p>
      <w:r>
        <w:rPr>
          <w:b/>
        </w:rPr>
        <w:t xml:space="preserve">Quelle: </w:t>
      </w:r>
      <w:r>
        <w:t>https://mcp.opencaselaw.ch/entscheid/bvger_D-612_2026</w:t>
      </w:r>
    </w:p>
    <w:p>
      <w:r>
        <w:t>FR: TAF D-612/2026 du 27 mai 2026</w:t>
      </w:r>
    </w:p>
    <w:p>
      <w:r>
        <w:t>IT: TAF D-612/2026 del 27 maggio 2026</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Art. 108 Abs. 1 AsylG; Art. 37 VGG i.V.m. Art. 48 Abs. 1 und Art. 52 Abs. 1 VwVG).</w:t>
      </w:r>
    </w:p>
    <w:p>
      <w:r>
        <w:rPr>
          <w:b/>
        </w:rPr>
        <w:t>E. 3</w:t>
      </w:r>
    </w:p>
    <w:p>
      <w:r>
        <w:t>Soweit der Beschwerdeführer in der Beschwerde die vorläufige Aufnahme aufgrund der Unzulässigkeit des Wegweisungsvollzugs beantragt, ist festzustellen, dass die Vorinstanz in der angefochtenen Verfügung weder die Wegweisung verfügt noch den Wegweisungsvollzug angeordnet, sondern lediglich festgestellt hat, dass der Entscheid über den Vollzug der Landesverweisung in die Zuständigkeit der kantonalen Behörden fällt. Der Beschwerdeführer wurde mit Urteil des Cour d'Appel Pénal des Kantons Freiburg vom 2. Juni 2025 rechtskräftig zu einer Landesverweisung von zehn Jahren nach Art. 66a StGB verurteilt. Die Prüfung von Wegweisungsvollzugshindernissen sowie die Anordnung einer vorläufigen Aufnahme fallen in diesem Fall nicht in die Zuständigkeit des SEM beziehungsweise des Bundesverwaltungsgerichts, sondern in diejenige der kantonalen Vollzugsbehörde (vgl. Art. 83 Abs. 9 AIG; Art. 66d StGB; Art. 32 Abs. 1 Bst. d AsylV 1; Art. 66d StGB; BGE 151 II 237 E. 4.3.4; 149 IV 231 E. 2.1.2 und E. 2.4; 147 IV 453 E. 1.4.5; Urteile des BVGer E-322/2026 vom 29. Januar 2026; E-1127/2023 vom 9. März 2023 E. 7.2 m.w.H.3). Die Frage der Wegweisung sowie des Vollzugs bildet damit nicht Gegenstand des Verfahrens.</w:t>
      </w:r>
    </w:p>
    <w:p>
      <w:r>
        <w:rPr>
          <w:b/>
        </w:rPr>
        <w:t>E. 4</w:t>
      </w:r>
    </w:p>
    <w:p>
      <w:r>
        <w:t>Die Kognition des Bundesverwaltungsgerichts und die zulässigen Rügen richten sich im Asylbereich nach Art. 106 Abs. 1 AsylG.</w:t>
      </w:r>
    </w:p>
    <w:p>
      <w:r>
        <w:rPr>
          <w:b/>
        </w:rPr>
        <w:t>E. 5</w:t>
      </w:r>
    </w:p>
    <w:p>
      <w:r>
        <w:t>Die Abteilungen des Bundesverwaltungsgerichts entscheiden in der Regel in der Besetzung mit drei Richtern (Spruchkörper; Art. 21 Abs. 1 VGG).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Im März 2011 brach in Syrien nach regimekritischen Demonstrationen und zunehmend gewaltsamer Repression seitens der staatlichen syrischen Sicherheitskräfte ein Konflikt aus, der schliesslich in einen offenen Bürgerkrieg mündete. Die damit in Zusammenhang stehende menschenrechtliche und politische Situation blieb seither anhaltend sehr schwierig und volatil (vgl. aus der publizierten Rechtsprechung des Bundesverwaltungsgerichts BVGE 2015/3 E. 6.2, Referenzurteil D-5779/2013 vom 25. Februar 2015 E. 5.3 und 5.7.2, BVGE 2020 VI/4 E. 5.3). Am 8. Dezember 2024 kam es in Syrien zum Sturz des bisherigen staatlichen Regimes unter Präsident Bashar al-Assad, wodurch die mehr als fünfzigjährige Herrschaft der Assad-Familie endete. Seither hat sich unter dem Vorsitz von Ahmed al-Sharaa, dem Anführer des Hay'at Tahrir al-Sham (HTS; Komitee zur Befreiung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namentlich die hinter der Autonomen Administration Nord- und Ostsyrien (englisch «Democratic Autonomous Administration of North and East Syria»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ökonomische und humanitäre Lage (vgl. zum Ganzen European Union Agency for Asylum [EUAA], Country Guidance: Syria, Dezember 2025, S. 14 ff. sowie S. 41 ff.; International Crisis Group [ICG], Syria's Transition: Navigating the Post-Assad Era, 15. Januar 2026, S. 5 ff.; Reliefweb, Syrian Arab Republic: Flash Update No. 3 - Clashes in Aleppo, 10. Januar 2026; UK Home Office, Country Policy and Information Note Syria: Internal security situation, Juli 2025, S. 18 ff.; Al-Monitor, Closed-door breakdown in Syria-Kurdish talks foreshadowed Aleppo clashes, 12. Januar 2026; Ministerie van Buitenlandse Zaken [NL], Algemeen ambtsbericht Syrië, Februar 2026, S. 12 ff.).</w:t>
      </w:r>
    </w:p>
    <w:p>
      <w:r>
        <w:rPr>
          <w:b/>
        </w:rPr>
        <w:t>E. 7.2</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BVGE 2011/51 E. 6.1 m.w.N.).</w:t>
      </w:r>
    </w:p>
    <w:p>
      <w:r>
        <w:rPr>
          <w:b/>
        </w:rPr>
        <w:t>E. 7.3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7.4</w:t>
      </w:r>
    </w:p>
    <w:p>
      <w:r>
        <w:t>Auch wenn die künftige Entwicklung der allgemeinen Lage in Syrien derzeit noch nicht absehbar ist, stellt sich dennoch bereits jetzt die Frage, welche Schlüsse im vorliegenden Fall aus dem Sturz des bisherigen staatlichen Regimes zu ziehen sind. Dabei ist nicht nur eine Beurteilung der aktuellen Situation in Syrien vor dem Hintergrund der Ereignisse seit dem 8. 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erteilen sein. Im Übrigen bleibt auf diese Weise der Instanzenzug erhalten, was umso wesentlicher ist, als das Bundesverwaltungsgericht im Anwendungsbereich des AsylG als einzige gerichtliche Behörde und mithin letztinstanzlich entscheidet.</w:t>
      </w:r>
    </w:p>
    <w:p>
      <w:r>
        <w:rPr>
          <w:b/>
        </w:rPr>
        <w:t>E. 8</w:t>
      </w:r>
    </w:p>
    <w:p>
      <w:r>
        <w:t>Nach dem Gesagten ist die Beschwerde gutzuheissen, soweit die Rückweisung der Sache zur Neubeurteilung an die Vorinstanz beantragt wird. Das SEM ist aufzufordern, die erforderlichen Massnahmen durchzuführen und gestützt auf die entsprechenden Erkenntnisse das Asylgesuch des Beschwerdeführers erneut zu prüfen.</w:t>
      </w:r>
    </w:p>
    <w:p>
      <w:r>
        <w:rPr>
          <w:b/>
        </w:rPr>
        <w:t>E. 9.1</w:t>
      </w:r>
    </w:p>
    <w:p>
      <w:r>
        <w:t>Bei diesem Ausgang des Verfahrens sind keine Kosten zu erheben (Art. 63 Abs. 1 und 2 VwVG). Der bereits einbezahlte Kostenvorschuss ist dem Beschwerdeführer zurückzuerstatten.</w:t>
      </w:r>
    </w:p>
    <w:p>
      <w:r>
        <w:rPr>
          <w:b/>
        </w:rPr>
        <w:t>E. 9.2</w:t>
      </w:r>
    </w:p>
    <w:p>
      <w:r>
        <w:t>Der ganz oder teilweise obsiegenden Partei kann von der Beschwerdeinstanz von Amtes wegen oder auf Begehren eine Entschädigung für ihr erwachsene notwendige und verhältnismässig hohe Kosten zugesprochen werden (Art. 64 Abs. 1 VwVG). Da dem nicht vertretenen Beschwerdeführer keine Kosten entstanden sein dürften,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