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D-6128/2016 vom 9. Mai 2017</w:t>
      </w:r>
    </w:p>
    <w:p>
      <w:r>
        <w:t>Bundesverwaltungsgericht, 2017-05-09, DE</w:t>
      </w:r>
    </w:p>
    <w:p>
      <w:r>
        <w:rPr>
          <w:b/>
        </w:rPr>
        <w:t xml:space="preserve">Quelle: </w:t>
      </w:r>
      <w:r>
        <w:t>https://mcp.opencaselaw.ch/entscheid/bvger_D-6128_2016</w:t>
      </w:r>
    </w:p>
    <w:p>
      <w:r>
        <w:t>FR: TAF D-6128/2016 du 9 mai 2017</w:t>
      </w:r>
    </w:p>
    <w:p>
      <w:r>
        <w:t>IT: TAF D-6128/2016 del 9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Gemäss Art. 111a AsylG wurde vorliegend auf die Durchführung eines Schriftenwechsels verzichtet.</w:t>
      </w:r>
    </w:p>
    <w:p>
      <w:r>
        <w:rPr>
          <w:b/>
        </w:rPr>
        <w:t>E. 4</w:t>
      </w:r>
    </w:p>
    <w:p>
      <w:r>
        <w:t>Mit der Beschwerde wurde ein Antrag auf Rückweisung der Sache an die Vorinstanz zur Sachverhaltsfeststellung gestellt. In der Begründung wurde auf eine Verletzung der Begründungspflicht hingewiesen, da das SEM entgegen der Praxis des Bundesverwaltungsgerichts die illegale Ausreise nicht als subjektiven Nachfluchtgrund anerkannt habe. Das SEM hat in seiner Verfügung ausführlich dargelegt, weshalb es die illegale Ausreise nicht für asylrelevant hält. Eine Verletzung der Begründungspflicht ist für das Gericht ebenso wenig ersichtlich wie eine Verletzung der Pflicht zur Sachverhaltsfeststellung.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zur Begründung seiner Verfügung aus, bei der familiären Situation des Beschwerdeführers und dem Schulverweis handle es sich nicht um eine Benachteiligung im Sinne von Art. 3 AsylG. Der Beschwerdeführer habe ansonsten zu Protokoll gegeben, keinerlei Probleme mit den Behörden gehabt zu haben. In Bezug auf seine illegale Ausreise hielt das SEM fest, diese sei nicht asylrelevant. Auf freiwilliger Basis könnten illegal Ausgereiste nach Eritrea zurückkehren, wenn sie die 2%-Steuer bezahlt und ein Reueformular unterzeichnet hätten, für den Fall, dass sie ihre Nationaldienstpflicht nicht erfüllt hätten. Davon befreit seien insbesondere Personen, die das dienstpflichtige Alter noch nicht erreicht hätten. Bei Zwangsrückgeführten werde der Nationaldienststatus überprüft und entsprechend verfahren. Die illegale Ausreise spiele nur eine untergeordnete Rolle. Der Beschwerdeführer habe den Nationaldienst weder verweigert noch sei er daraus desertiert. Zum Zeitpunkt der Ausreise sei er noch minderjährig gewesen und habe keine Dienstaufforderung erhalten. Demnach habe er nicht gegen die Nationaldienstproklamation verstossen. Seinen Akten sei auch sonst nichts zu entnehmen, wonach er bei einer Rückkehr nach Eritrea ernsthafte Nachteile zu gewärtigen habe.</w:t>
      </w:r>
    </w:p>
    <w:p>
      <w:r>
        <w:rPr>
          <w:b/>
        </w:rPr>
        <w:t>E. 6.2</w:t>
      </w:r>
    </w:p>
    <w:p>
      <w:r>
        <w:t>Der Beschwerdeführer hielt dem in seiner Beschwerde im Wesentlichen entgegen, bei der angefochtenen Verfügung handle es sich um eine unrechtmässige Abweichung von der bisherigen Praxis der Vorinstanz und des Bundesverwaltungsgerichts in Bezug auf die illegale Ausreise. Die Vor-instanz habe dabei geltende Standards bezüglich der Country of Origin Informations (COI) nicht respektiert. Es existierten zahlreiche Quellen, welche für eine Aufrechterhaltung der bisherigen Praxis sprächen. Die allgemeine Menschenrechtssituation in Eritrea sei weiterhin problematisch. Zu verweisen sei hier insbesondere auf einen Bericht der Untersuchungskommission des UNO-Menschenrechtsrates vom Juni 2016. Im Falle einer Rückkehr bestehe für ihn ein reales Risiko von Folter oder unmenschlicher oder erniedrigender Behandlung. Die Vorinstanz verlange von ihm, dass er sich im Falle einer Rückkehr diskret zu verhalten habe, indem er die 2%-Steuer bezahle und ein Reueschreiben unterzeichne. Ein solches Diskretionserfordernis sei unzulässig.</w:t>
      </w:r>
    </w:p>
    <w:p>
      <w:r>
        <w:rPr>
          <w:b/>
        </w:rPr>
        <w:t>E. 7.1</w:t>
      </w:r>
    </w:p>
    <w:p>
      <w:r>
        <w:t>Vorliegend ist insbesondere auf die Frage einzugehen, ob der Beschwerdeführer infolge illegaler Ausreise aus Eritrea die Flüchtlingseigenschaft erfüllt, zumal sich die Beschwerdebegründung ausschliesslich darauf bezieht. Die Feststellung der Vorinstanz, dass der Beschwerdeführer keine asylrechtlich relevanten Vorfluchtgründe geltend gemacht habe, ist damit zu bestätigen.</w:t>
      </w:r>
    </w:p>
    <w:p>
      <w:r>
        <w:rPr>
          <w:b/>
        </w:rPr>
        <w:t>E. 7.2</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7.4</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Bundesverwaltungsgerichts D-7898/2015 vom 30. Januar 2017, E. 5.1).</w:t>
      </w:r>
    </w:p>
    <w:p>
      <w:r>
        <w:rPr>
          <w:b/>
        </w:rPr>
        <w:t>E. 7.5</w:t>
      </w:r>
    </w:p>
    <w:p>
      <w:r>
        <w:t>Das Vorliegen solcher zusätzlicher Faktoren ist im Falle des Beschwerdeführers zu verneinen. Er macht nicht geltend, dass er vor seiner Ausreise, welche im Alter von fünfzehn Jahren erfolgte, mit den Militärbehörden in Kontakt gekommen sei. Vor diesem Hintergrund kann er nicht als Deserteur oder Refraktär gelten. Andere Anknüpfungspunkte, welche ihn in den Augen des eritreischen Regimes als missliebige Person erscheinen lassen könnten, sind ebenfalls nicht ersichtlich.</w:t>
      </w:r>
    </w:p>
    <w:p>
      <w:r>
        <w:rPr>
          <w:b/>
        </w:rPr>
        <w:t>E. 7.6</w:t>
      </w:r>
    </w:p>
    <w:p>
      <w:r>
        <w:t>Nach dem Gesagten ist festzuhalten, dass der Beschwerdeführer die Flüchtlingseigenschaft nicht erfüllt. Das SEM hat deshalb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der Beschwerdeführer mit der angefochtenen Verfügung vom 1. September 2016 wegen Unzumutbarkeit des Wegweisungsvollzuges in der Schweiz vorläufig aufgenommen wurde, erübrigen sich praxisgemäss Ausführungen zur Zulässigkeit und Möglichkeit des Wegweisungsvollzuges.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jedoch das mit der Beschwerde gestellte Gesuch um Gewährung der unentgeltlichen Prozessführung mit Zwischenverfügung vom 2. März 2017 gutgeheissen wurde, sind keine Verfahrenskosten aufzuerlegen.</w:t>
      </w:r>
    </w:p>
    <w:p>
      <w:r>
        <w:rPr>
          <w:b/>
        </w:rPr>
        <w:t>E. 10.2</w:t>
      </w:r>
    </w:p>
    <w:p>
      <w:r>
        <w:t>Im Abschreibungsentscheid D-6523/2016 des Bundesverwaltungsgerichts vom 17. Februar 2017 wurde bezüglich des vom Beschwerdeführer angehobenen Ausstandverfahrens festgehalten, es sei grundsätzlich eine Parteientschädigung zuzusprechen, über die Entschädigungsfolgen sei aber in der Hauptsache und somit im vorliegenden Entscheid zu befinden. Die Rechtsvertreterin hat jedoch ihr Mandat im Rahmen einer Tätigkeit als amtliche Rechtsvertreterin bereits ausschliesslich aufgrund staatlicher Beauftragung und damit für den Beschwerdeführer unentgeltlich ausgeführt, sodass davon auszugehen ist, für den Beschwerdeführer seien keine Vertretungskosten angefallen,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