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D-6122/2013 vom 4. Dezember 2014</w:t>
      </w:r>
    </w:p>
    <w:p>
      <w:r>
        <w:t>Bundesverwaltungsgericht, 2014-12-04, DE</w:t>
      </w:r>
    </w:p>
    <w:p>
      <w:r>
        <w:rPr>
          <w:b/>
        </w:rPr>
        <w:t xml:space="preserve">Quelle: </w:t>
      </w:r>
      <w:r>
        <w:t>https://mcp.opencaselaw.ch/entscheid/bvger_D-6122_2013</w:t>
      </w:r>
    </w:p>
    <w:p>
      <w:r>
        <w:t>FR: TAF D-6122/2013 du 4 décembre 2014</w:t>
      </w:r>
    </w:p>
    <w:p>
      <w:r>
        <w:t>IT: TAF D-6122/2013 del 4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Schweizerische Bundesversammlung hat am 14. Dezember 2012 eine Revision des Asylgesetzes vom 26. Juni 1998 verabschiedet (AS 2013 4375), welche am 1. Februar 2014 in Kraft getreten ist. Gemäss Abs. 1 der diesbezüglichen Übergangsbestimmungen gilt für die im Zeitpunkt des Inkrafttretens hängigen Verfahren grundsätzlich das neue Recht.</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Der vom Beschwerdeführer im Rahmen des vorinstanzlichen Verfahrens vorgebrachte und mit Beweismitteln untermauerte Sachverhalt wird vom BFM nicht in Frage gestellt (Strafverfahren wegen Beleidigung vor dem Asliye Ceza Mahkemesi-Gericht in D._______). Die darauf basierenden ausführlichen Erwägungen in der angefochtenen Verfügung geben keinen Anlass zu Beanstandungen durch das Bundesverwaltungsgericht. Diese Sichtweise wird in der Rechtsmitteleingabe grundsätzlich ebenfalls geteilt. Es kann daher, zur Vermeidung von Wiederholungen, auf die diesbezüglich zutreffenden Ausführungen der Vorinstanz in ihrem Entscheid verwiesen werden.</w:t>
      </w:r>
    </w:p>
    <w:p>
      <w:r>
        <w:rPr>
          <w:b/>
        </w:rPr>
        <w:t>E. 4.2</w:t>
      </w:r>
    </w:p>
    <w:p>
      <w:r>
        <w:t>Strittig - wie in der Beschwerde unter Einreichung von Dokumenten behauptet - ist vorliegend indes die Frage, ob das vor dem Asliye Ceza Mahkemesi-Gericht (Strafamtsgericht) gegen den Beschwerdeführer anhängig gemachte Strafverfahren wegen Beleidigung zur Weiterbehandlung an das Agir Ceza Mahkemesi-Gericht (Schweres Strafgericht) überwiesen worden ist oder ob - wie in der Eingabe vom 27. November 2013 (vgl. Bst. E.) ausgeführt - beide Gerichte ein Strafverfahren gegen ihn durchführen. Diesfalls wäre, wie bereits in der angefochtenen Verfügung begründet (vgl. II/1 S. 4, 3. Abschnitt), von einer anderen, unter Umständen zuungunsten des Beschwerdeführers ausfallenden respektive möglicherweise (asyl-)relevanten Ausgangslage hinsichtlich des geltend gemachten Strafverfahrens auszugehen. Die Verfügung des BFM wäre - wie in der Beschwerde ausgeführt - unter der falschen Annahme ergangen, dass das eingeleitete Strafverfahren vor einem ordentlichen Strafgericht stattfinden würde. Die Verfügung des BFM müsste deshalb wegen unzutreffender Feststellung des rechtserheblichen Sachverhalts, eines schweren und auf Beschwerdestufe nicht heilbaren Mangels, aufgehoben und zur Neubeurteilung der Sache an dieses zurückgewiesen werden.</w:t>
      </w:r>
    </w:p>
    <w:p>
      <w:r>
        <w:rPr>
          <w:b/>
        </w:rPr>
        <w:t>E. 4.3</w:t>
      </w:r>
    </w:p>
    <w:p>
      <w:r>
        <w:t>Die eben skizzierte Sachlage (E. 4.2) trifft aber nicht zu. Die auf Beschwerdestufe eingereichten Dokumente (vgl. Bst. C. und E.) sind nicht geeignet, die in diesem Zusammenhang vertretene Annahme des Beschwerdeführers zu untermauern. Die Vorinstanz unterzog im Rahmen der Vernehmlassung vom 13. Dezember 2013 die entsprechenden Dokumente einer einlässlichen Würdigung (vgl. Bst. F.). Als Ergebnis kam dabei zusammenfassend heraus, dass in casu nicht von einer Überweisung des Ehrverletzungsverfahrens vom Strafamtsgericht an das Schwere Strafgericht ausgegangen werden konnte. Ebenfalls ergaben sich keine Anhaltspunkte für die Annahme eines separat gegen den Beschwerdeführer durchgeführten Strafverfahrens vor dem Schweren Strafgericht. Dieses vom Beschwerdeführer angeführte Verfahren betraf zwei andere Personen als Angeklagte. Der Beschwerdeführer wurde im diesbezüglichen Verfahren als Zeuge vorgeladen. Das Bundesverwaltungsgericht schliesst sich den von der Vorinstanz getroffenen Feststellungen respektive Schlussfolgerungen an. Um Wiederholungen zu vermeiden, kann daher auf die zutreffenden Ausführungen des BFM in besagter Vernehmlassung verwiesen werden. Diese Vorgehensweise rechtfertigt sich umso mehr, als der Beschwerdeführer von der Wahrnehmung des ihm hierzu eingeräumten Replikrechts keinen Gebrauch machte (vgl. Bst. I.). Mithin ist aus der Verhaltensweise des Beschwerdeführers abzuleiten, dass er gegen das in der Vernehmlassung dargelegte Ergebnis keine entkräftenden oder beseitigenden Einwände anzubringen vermag. Vor diesem Hintergrund ergibt sich, dass der Beschwerdeführer aus dem gegen ihn eingeleiteten Strafverfahren vor dem Strafamtsgericht D._______ - wie das BFM in der angefochtenen Verfügung bereits festhielt - keinen Verfolgungssachverhalt im Sinne von Art. 3 AsylG geltend machen kann.</w:t>
      </w:r>
    </w:p>
    <w:p>
      <w:r>
        <w:rPr>
          <w:b/>
        </w:rPr>
        <w:t>E. 4.4</w:t>
      </w:r>
    </w:p>
    <w:p>
      <w:r>
        <w:t>Zu keiner anderen Beurteilung in der Frage der Asylgewährung führen die weiteren mit Eingabe vom 3. Juni 2014 eingereichten Beweismittel (vgl. Bst. J.). Es gilt hierzu vorab festzuhalten, dass der Beschwerdeführer diese Beweismittel, ohne gross zu kommentieren respektive ohne die geringste individuelle Betroffenheit in dieser Angelegenheit zu offenbaren, zu den Akten reichte. Der Aufforderung zur Übersetzung der entsprechenden Dokumente kam er nicht nach, weshalb eine solche von Amtes wegen angeordnet wurde. Zu der vom BFM in seiner Zweitvernehmlassung vom 8. September 2014 (Bst. M.) vorgenommenen Würdigung der eingereichten Unterlagen sowie den daraus von diesem gezogenen Feststellungen und Schlussfolgerungen nahm der Beschwerdeführer im Rahmen des ihm gewährten Replikrechts nicht Stellung (vgl. Bst. N. und O.). Das vom BFM dargelegte Ergebnis, an dem zu zweifeln das Bundesverwaltungsgericht keine Veranlassung sieht, bleibt unwidersprochen und es kann daher, zur Vermeidung von Wiederholungen, auf die diesbezüglich zutreffenden Ausführungen in der erwähnten Vernehmlassung verwiesen werden. Ebenso ist festzuhalten, dass der Beschwerdeführer die allenfalls aus seiner Unterlassung resultierenden nachteiligen Konsequenzen der Beweislosigkeit für die behauptete Sachverhaltsdarstellung in Eigenverantwortung zu tragen hat.</w:t>
      </w:r>
    </w:p>
    <w:p>
      <w:r>
        <w:rPr>
          <w:b/>
        </w:rPr>
        <w:t>E. 4.5</w:t>
      </w:r>
    </w:p>
    <w:p>
      <w:r>
        <w:t>Sodann ändern weder die mit der Beschwerde eingereichten Internetberichte über das Urteil vom 5. August 2013 auf www.srf.ch (Verurteilung von beinahe 300 Personen zu teils lebenslänglichen Freiheitsstrafen wegen angeblichen Putsches) noch die Medienmitteilung von amnesty international vom 27. März 2013 etwas daran (Beschwerdebeilagen 6). Diesen sich nicht konkret auf die Situation des Beschwerdeführers beziehenden Publikationen ist die beweisrechtliche Bedeutung abzusprechen. Nicht gehört werden kann nach dem Gesagten das Vorbringen in der Eingabe vom 27. November 2013, der Beschwerdeführer soll wegen des politischen Verfahrens vor dem Agir Ceza Mahkemesi-Gericht und aufgrund seines politischen Profils bei den türkischen Sicherheitsbehörden registriert worden sein. Im Gesamtkontext des vorliegenden Verfahrens erweist sich das Vorbringen bezüglich des politischen Verfahrens als unzutreffende Behauptung (vgl. E. 4.3) respektive hinsichtlich einer Fichierung als blosse Mutmassung. Im Zusammenhang mit dem politischen Profil des Beschwerdeführers ist der Vollständigkeit halber insbesondere zu erwähnen, dass er anlässlich der direkten Bundesanhörung ein politisches Engagement in Abrede stellte. Ebenfalls verneinte er ausdrücklich irgendwelche Schwierigkeiten mit den heimatlichen Behörden, die ihm daraus entstanden sein könnten, weil seine Mutter vor sechs Jahren die Türkei verliess und in der Schweiz als Flüchtling anerkannt worden ist. Bei dieser Sachlage und in Ermangelung näherer Hinweise oder Aufschlüsse für eine (asyl-)relevante Gefährdungssituation des Beschwerdeführers erübrigen sich weitere Erörterungen.</w:t>
      </w:r>
    </w:p>
    <w:p>
      <w:r>
        <w:rPr>
          <w:b/>
        </w:rPr>
        <w:t>E. 4.6</w:t>
      </w:r>
    </w:p>
    <w:p>
      <w:r>
        <w:t>Zusammenfassend ist festzustellen, dass der Beschwerdeführer nicht darzutun vermochte, dass er einer Verfolgung im Sinne von Art. 3 AsylG ausgesetzt war oder begründete Furcht hat, einer solchen aus­gesetzt werden zu können. Er kann daher nicht als Flüchtling aner­kannt werden.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Weder die allgemeine Lage in der Türkei noch die per­sönliche Situa­tion des - ausser den als asylirrelevant erkannten hängigen Strafverfahren - ansonsten Probleme mit den heimatlichen Behörden ausdrücklich verneinenden Beschwerdeführers lassen auf eine konkrete Gefährdung im Falle seiner Rückkehr in die Türkei schliessen. Des Weiteren bestehen - wie die Vorinstanz in der angefochtenen Verfügung zutreffend festhielt - keine Hinweise darauf, dass dessen Reintegration im Heimatland auf unüberwindbare Hindernisse stossen könnte. Zur Vermeidung von Wiederholungen kann daher auf die entsprechenden vorinstanzlichen Erwägungen in der angefochtenen Verfügung verwiesen werden (vgl. III/Ziff. 2 S. 5). In Berücksichtigung sämtlicher für das vorliegende Verfahren relevanten Aspekte erweist sich der Vollzug der Wegweisung demnach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6.5</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Mit Zwischenverfügung vom 11. November 2013 wurde das Gesuch um Gewährung der unentgeltlichen Rechtspflege im Sinne von Art. 65 Abs. 1 VwVG unter Vorbehalt einer nachträglichen Änderung der finanziellen Verhältnisse des Beschwerdeführers gutgeheissen (vgl. Bst. D.). Da der Beschwerdeführer gemäss den vorliegenden Akten aktuell nach wie vor nicht erwerbstätig ist, kann davon ausgegangen werden, dass er prozessual bedürftig ist. Auf die Auferlegung von Verfahrenskosten ist demnach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