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D-6116/2015 vom 22. Januar 2016</w:t>
      </w:r>
    </w:p>
    <w:p>
      <w:r>
        <w:t>Bundesverwaltungsgericht, 2016-01-22, DE</w:t>
      </w:r>
    </w:p>
    <w:p>
      <w:r>
        <w:rPr>
          <w:b/>
        </w:rPr>
        <w:t xml:space="preserve">Quelle: </w:t>
      </w:r>
      <w:r>
        <w:t>https://mcp.opencaselaw.ch/entscheid/bvger_D-6116_2015</w:t>
      </w:r>
    </w:p>
    <w:p>
      <w:r>
        <w:t>FR: TAF D-6116/2015 du 22 janvier 2016</w:t>
      </w:r>
    </w:p>
    <w:p>
      <w:r>
        <w:t>IT: TAF D-6116/2015 del 22 gennaio 2016</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beziehungsweise Einspracheentscheide des SEM, mit welchen die Erteilung eines Visums verweigert wird (vgl. Art. 31 und 33 VGG). Im Bereich dieser Materie entscheidet das Bundesverwaltungsgericht endgültig (vgl. Art. 83 Bst. c Ziff. 1 BGG).</w:t>
      </w:r>
    </w:p>
    <w:p>
      <w:r>
        <w:rPr>
          <w:b/>
        </w:rPr>
        <w:t>E. 1.2</w:t>
      </w:r>
    </w:p>
    <w:p>
      <w:r>
        <w:t>Das Verfahren vor dem Bundesverwaltungsgericht richtet sich nach dem VwVG, soweit das VGG nichts anderes bestimmt (Art. 37 VGG).</w:t>
      </w:r>
    </w:p>
    <w:p>
      <w:r>
        <w:rPr>
          <w:b/>
        </w:rPr>
        <w:t>E. 1.3</w:t>
      </w:r>
    </w:p>
    <w:p>
      <w:r>
        <w:t>Die Beschwerdeführerin ist zur Beschwerdeführung legitimiert (Art. 48 Abs. 1 VwVG), zumal sie als Gastgeberin in eigenem Namen gegen die ablehnenden Visa-Entscheide vom 30. Juni 2015 Einsprache erhoben hat und sie Adressatin der angefochtenen Verfügung ist (vgl. BVGE 2014/1 E. 1.3). Auf die frist- und formgerecht eingereichte Eingabe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w:t>
      </w:r>
    </w:p>
    <w:p>
      <w:r>
        <w:t>Gestützt auf Art. 57 Abs. 1 VwVG in Verbindung mit Art. 37 VGG wird vorliegend auf einen Schriftenwechsel verzichtet, da sich die Beschwerde, wie nachfolgend aufgezeigt, als zum Vornherein unbegründet erweist.</w:t>
      </w:r>
    </w:p>
    <w:p>
      <w:r>
        <w:rPr>
          <w:b/>
        </w:rPr>
        <w:t>E. 4.1</w:t>
      </w:r>
    </w:p>
    <w:p>
      <w:r>
        <w:t>Der vorliegenden Sache liegt das Gesuch der Beschwerdeführerin zu­grunde, ihren in der Türkei befindlichen Angehörigen Einreisevisa zu erteilen (vgl. Bst. A hiervor). Aus prozessökonomischen Überlegungen respektive zur Vermeidung von Wiederholungen kann im vorliegenden Verfahren betreffend Einreisevisum (Voraussetzungen des humanitären Visums und Verhältnis zwischen den einschlägigen Weisungen; Überprüfung von Weisungen durch das Bundesverwaltungsgericht) vorab auf die in BVGE 2015/5 E. 3 und 4 enthaltene Rechtsprechung verwiesen werden.</w:t>
      </w:r>
    </w:p>
    <w:p>
      <w:r>
        <w:rPr>
          <w:b/>
        </w:rPr>
        <w:t>E. 4.2</w:t>
      </w:r>
    </w:p>
    <w:p>
      <w:r>
        <w:t>Als Staatsangehörige von Syrien unterstehen die Gesuchstellenden der Visumspflicht gemäss den zitierten Bestimmungen im obgenannten Urteil. Vonseiten der Beschwerdeführerin wurde im Rahmen des Einspracheverfahrens unter anderem bloss geltend gemacht, im Falle ihrer Angehörigen ersuche sie in Berücksichtigung der aktuellen Situation um Neubeurteilung der Visagesuche. Weder im diesbezüglichen Verfahren noch auf Beschwerdeebene wird dem Vorbehalt des SEM gegen die Erteilung der nachgesuchten Visa (die Gesuchstellenden hätten die Absicht, dauerhaft in der Schweiz zu bleiben) begegnet. Aufgrund der vorliegenden Akten ist mit dem Staatssekretariat darin einig zu gehen, dass im Falle der Gesuchstellenden die Erteilung von ordentlichen Schengen-Visa ausser Betracht fallen muss, da be­gründete Zweifel daran bestehen, die Gesuchstellenden würden die Schweiz respektive den Schengen-Raum nach Ablauf der maximalen Visumsdauer verlassen (vgl. dazu BVGE 2014/1 E. 4.4). Gegen die Absicht einer freiwilligen Rückkehr in die Heimat spricht sowohl die dortige Bürgerkriegslage als auch das Vorbringen, die Gesuchstellenden seien aus Syrien geflüchtet, mithin sinngemäss zum Ausdruck gebracht wird, sie hätten ihre Lebensgrundlage in Syrien weitgehend verloren. Vor diesem Hintergrund besteht offenkundig keine hinreichende Garantie für eine anstandslose Ausreise innert 90 Tagen, weshalb die Erteilung der nachgesuchten Visa bereits aufgrund einer nicht hinreichend gesicherten Ausreise zu verweigern ist.</w:t>
      </w:r>
    </w:p>
    <w:p>
      <w:r>
        <w:rPr>
          <w:b/>
        </w:rPr>
        <w:t>E. 4.3.1</w:t>
      </w:r>
    </w:p>
    <w:p>
      <w:r>
        <w:t>Das SEM hält in der angefochtenen Verfügung sodann unter direkter Bezugnahme auf die in der Weisung "Visumantrag aus humanitären Gründen" vom 25. Februar 2014 definierten Voraussetzungen dafür, die Erteilung von Visa aus humanitären Gründen lasse sich aufgrund der vorliegenden Aktenlage nicht rechtfertigen. Gemäss dieser Weisung kann ein Visum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4.3.2</w:t>
      </w:r>
    </w:p>
    <w:p>
      <w:r>
        <w:t>Von der Beschwerdeführerin wird dem wesentlichen Sinngehalt nach geltend gemacht (Einladungsschreiben, Einsprache, Beschwerde), die sich in der Türkei befindenden Gesuchstellenden würden sich in einer absolut prekären Notsituation befinden. Sie seien bei den türkischen Behörden nicht registriert und würden von diesen keine Unterstützung erhalten. Mit der diesbezüglichen Argumentation beruft sich die Beschwerdeführerin auf eine angeblich völlig mangelhafte Sicherheitslage sowie auf das angeblich völlige Fehlen wirtschaftlicher Möglichkeiten und sozialer Absicherung, namentlich medizinischer Versorgung. Damit wird jedoch - wie vom SEM sinngemäss erwogen - nicht das Vorliegen einer konkreten, unmittelbaren und ernsten Gefährdungslage geltend gemacht, sondern zur Hauptsache auf die schwierigen Lebensbedingungen verwiesen, welche syrische Bürgerkriegsflüchtlinge in der Türkei antreffen können. Es gilt festzuhalten, dass sich die in den diversen Rechtsschriften allgemein gehaltenen Ausführungen - abgesehen von geringfügigen und für das vorliegende Verfahren unbedeutenden Abweichungen - inhaltlich nicht wesentlich unterscheiden. Ebenfalls ist zu vermerken, dass eine Auseinandersetzung mit den vorinstanzlichen Erwägungen in diesem Zusammenhang grundsätzlich unterbleibt (u.a. Registrierung; Grundversorgung und Zugang zu medizinischen Basisleistungen; Möglichkeiten weitergehender Unterstützung, Verbleib in einem sicheren Drittstaat). Hinsichtlich der geltend gemachten gesundheitlichen Schwierigkeiten betreffend die Mutter der Beschwerdeführerin wird den vorinstanzlichen Erwägungen in der Rechtsmitteleingabe nichts Substanzielles entgegengesetzt. Im Gegenteil, mit der nicht näher kommentierten und in Kopie eingereichten ärztlichen Bescheinigung vom 8. Mai 2015 wird dargetan, dass der Mutter der Beschwerdeführerin medizinische Hilfe in Form einer medikamentösen Behandlung zuteil gekommen ist. Ferner werden weder nähere Hinweise geliefert noch medizinische Unterlagen eingereicht, welche Auskünfte über ein konkret sich manifestierendes Krankheitsbild oder Informationen über eine - wie behauptet - dringend benötigte Operation enthalten. Die Beschwerdeführerin lässt es bei pauschalen Ausführungen bewenden (vgl. Bst. C hiervor). In Anbetracht der allgemein gehaltenen Vorbringen ist zwar nicht in Abrede zu stellen, dass sich die Lebensumstände in der Türkei für syrische Bürgerkriegsflüchtlinge als schwierig darstellen können. Allein dieser Aspekt ist jedoch nicht ausschlaggebend. Da vorliegend keine Gründe ersichtlich sind, welche darauf hindeuten würden, die Gesuchstellenden seien in der Türkei unmittelbar, ernsthaft und konkret an Leib und Leben gefährdet, respektive sie würden sich in einer besonderen Notlage befinden, welche ein behördliches Eingreifen zwingend erforderlich erscheinen liesse, vermögen die Vorbringen der Beschwerdeführerin die Erteilung von Visa aus humanitären Gründen nicht zu rechtfertigen. Mit Verweis auf die Ausführungen des SEM in der angefochtenen Verfügung erübrigen sich somit weitere Erörterungen.</w:t>
      </w:r>
    </w:p>
    <w:p>
      <w:r>
        <w:rPr>
          <w:b/>
        </w:rPr>
        <w:t>E. 5</w:t>
      </w:r>
    </w:p>
    <w:p>
      <w:r>
        <w:t>Nach vorstehenden Erwägungen ergibt sich, dass die angefochtene Verfügung Bundesrecht nicht verletzt, den rechtserheblichen Sachverhalt richtig und vollständig feststellt und angemessen ist (Art. 49 VwVG). Die Beschwerde ist daher abzuweisen.</w:t>
      </w:r>
    </w:p>
    <w:p>
      <w:r>
        <w:rPr>
          <w:b/>
        </w:rPr>
        <w:t>E. 6</w:t>
      </w:r>
    </w:p>
    <w:p>
      <w:r>
        <w:t>Bei diesem Ausgang des Verfahrens sind die Kosten der Beschwerde­führerin aufzuerlegen (Art. 63 Abs. 1 VwVG) und auf insgesamt Fr. 700.- festzusetzen (Art. 1-3 des Reglements vom 21. Februar 2008 über die Kosten und Entschädigungen vor dem Bundesverwaltungsgericht [VGKE, SR 173.320.2]). Der am 13. Oktober 2015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