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D-6113/2017 vom 6. Dezember 2017</w:t>
      </w:r>
    </w:p>
    <w:p>
      <w:r>
        <w:t>Bundesverwaltungsgericht, 2017-12-06, DE</w:t>
      </w:r>
    </w:p>
    <w:p>
      <w:r>
        <w:rPr>
          <w:b/>
        </w:rPr>
        <w:t xml:space="preserve">Quelle: </w:t>
      </w:r>
      <w:r>
        <w:t>https://mcp.opencaselaw.ch/entscheid/bvger_D-6113_2017</w:t>
      </w:r>
    </w:p>
    <w:p>
      <w:r>
        <w:t>FR: TAF D-6113/2017 du 6 décembre 2017</w:t>
      </w:r>
    </w:p>
    <w:p>
      <w:r>
        <w:t>IT: TAF D-6113/2017 del 6 dicembre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2.1 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3</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(Abs. 4). Die Bewilligung der Einreise zwecks Gewährung von Familienasyl dient der Wiederherstellung von Familiengemeinschaften, die durch die Flucht getrennt wurden, hingegen nicht der Aufnahme von neuen oder der Wiederaufnahme von beendeten Beziehungen (vgl. BVGE 2012/32 E. 5.4.2 und das zur Publikation bestimmte Urteil D-3175/2016 vom 17. August 2017 E. 3.1).</w:t>
      </w:r>
    </w:p>
    <w:p>
      <w:r>
        <w:rPr>
          <w:b/>
        </w:rPr>
        <w:t>E. 4.1</w:t>
      </w:r>
    </w:p>
    <w:p>
      <w:r>
        <w:t>Die Vorinstanz verweigerte die Einreisebewilligung beziehungsweise lehnte das Gesuch um Gewährung des Familienasyls mit der Begründung ab, der Beschwerdeführer könne sein Familienleben auch im Irak fortführen, da er vor seiner Ausreise zusammen mit seiner Ehefrau und dem gemeinsamen Sohn bereits im Irak gelebt habe. Gemäss irakischem Staatsbürgerschaftsgesetz könne er sich als Ehepartner einer irakischen Staatsangehörigen nach fünf Jahren einbürgern lassen. Der Irak stelle für ihn somit einen sicheren Drittstaat dar. Zwar treffe es zu, dass der iranische Geheimdienst, wie vom Beschwerdeführer geltend gemacht, auch in der Autonomen Republik Kurdistan (ARK) im Irak präsent sei. Allerdings habe der Beschwerdeführer bereits während fünfzehn Jahren unbehelligt in der ARK gelebt, was die Gefahr einer zukünftigen asylbeachtlichen Verfolgungsgefahr für ihn im Irak unwahrscheinlich erscheinen lasse.</w:t>
      </w:r>
    </w:p>
    <w:p>
      <w:r>
        <w:rPr>
          <w:b/>
        </w:rPr>
        <w:t>E. 4.2</w:t>
      </w:r>
    </w:p>
    <w:p>
      <w:r>
        <w:t>In der Rechtsmitteleingabe macht der Beschwerdeführer im Wesentlichen geltend, die Schlussfolgerung der Vorinstanz, dass der Irak für ihn ein sicherer Drittstaat sei, widerspreche ihrem Asylentscheid vom 14. Juli 2017. Wäre der Irak für ihn tatsächlich ein sicherer Drittstaat, hätte die Vor-instanz dies bereits im vorinstanzlichen Verfahren geltend gemacht und wäre auf sein Asylgesuch gar nicht erst eingetreten. Zur Argumentation der Vorinstanz, dass er die irakische Staatsbürgerschaft beantragen könne, gelte es festzuhalten, dass er sich illegal im Irak aufgehalten habe. Zwar sei ihm die Heirat erlaubt worden, eine Aufenthaltsbewilligung habe er indessen nie besessen, weshalb er die Voraussetzungen für eine Einbürgerung im Irak nicht erfülle.</w:t>
      </w:r>
    </w:p>
    <w:p>
      <w:r>
        <w:rPr>
          <w:b/>
        </w:rPr>
        <w:t>E. 4.3</w:t>
      </w:r>
    </w:p>
    <w:p>
      <w:r>
        <w:t>Aus den Akten ergibt sich, dass der Beschwerdeführer bereits im Jahr 2001 aus dem Iran in den Irak geflohen ist. Im für die Anspruchsberechtigung gemäss Art. 51 Abs. 4 AsylG entscheidenden Zeitpunkt der Flucht aus dem Iran in den Irak war er unverheiratet und kinderlos, was er auch nicht bestreitet. Die Bestimmung von Art. 51 Abs. 4 AsylG bezweckt einzig - wie zuvor ausgeführt (vgl. vorstehend E. 3) - die Wiedervereinigung bereits vor der Flucht aus dem Heimatstaat - vorliegend Iran - bestandener, tatsächlich gelebter Familiengemeinschaften, weshalb der Ehefrau und dem gemeinsamen Sohn bereits aus diesem Grund keine Einreisebewilligungen im Sinne von Art. 51 Abs. 4 AsylG erteilt werden können (vgl. BVGE 2012/32 E. 5). Die erst im Irak erfolgte Heirat des Beschwerdeführers und die Geburt des gemeinsamen Sohnes im Jahr 2011 vermögen daran nichts zu ändern, da die Bestimmung von Art. 51 Abs. 4 AsylG nicht zur Aufnahme neuer familiärer Beziehungen herangezogen werden kann. Zusätzlich ist festzustellen, dass beim Beschwerdeführer die Asylerteilung durch die Vorinstanz wegen einer wahrscheinlichen Verfolgungsgefahr des Beschwerdeführers in seinem Heimatstaat Iran erfolgt ist. Alleine aus der Tatsache, dass die Vorinstanz trotz des langjährigen und unbehelligten Aufenthalts des Beschwerdeführers im Irak auf sein Asylgesuch eingetreten ist, kann - entgegen den anderslautenden Beschwerdevorbringen - nicht geschlossen werden, dass der Beschwerdeführer damals auch im Irak asylrelevanter Verfolgung ausgesetzt gewesen wäre oder jetzt ist. Allein aus dem Umstand, dass die Vorinstanz seinerzeit darauf verzichtet hat, in Anwendung von Art. 31a Abs. 1 Bst. c AsylG auf sein Asylgesuch nicht einzutreten, sondern sein Asylgesuch materiell geprüft hat, kann der Beschwerdeführer im vorliegenden Verfahren nichts zu seinen Gunsten ableiten, zumal bereits das Kriterium der Trennung durch Flucht nicht erfüllt ist. Ferner ist vorliegend in Übereinstimmung mit der Vorinstanz auch davon auszugehen, dass er sich angesichts seines langjährigen Aufenthalts im Irak und der Tatsache, dass er seine Ehe dort hat registrieren lassen können und seine Ehefrau und der gemeinsame Sohn über irakische Reisedokumente verfügen, im Irak wird einbürgern lassen können, zumal er auch bereits über ein iranisches Identitätsbüchlein verfügt. Zusammenfassend ist somit festzustellen, dass die Voraussetzungen einer Einreisebewilligung zwecks Familienasyl gemäss Art. 51 Abs. 4 AsylG vorliegend nicht erfüllt sind. Die Vorinstanz hat der Ehefrau des Beschwerdeführers und dem gemeinsamen Sohn zu Recht die Einreise in die Schweiz verweigert und das Gesuch um Gewährung des Familienasyls abgelehnt. Nach dem Gesagten tun die Fluchtumstände des Beschwerdeführers in diesem Verfahren nichts zur Sache, weshalb der Antrag, das SEM sei anzuweisen sämtliche Asylakten, insbesondere einen begründeten Asylentscheid zu edieren, abzuweisen ist.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das Gesuch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