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D-6113/2016 vom 20. Juni 2017</w:t>
      </w:r>
    </w:p>
    <w:p>
      <w:r>
        <w:t>Bundesverwaltungsgericht, 2017-06-20, DE</w:t>
      </w:r>
    </w:p>
    <w:p>
      <w:r>
        <w:rPr>
          <w:b/>
        </w:rPr>
        <w:t xml:space="preserve">Quelle: </w:t>
      </w:r>
      <w:r>
        <w:t>https://mcp.opencaselaw.ch/entscheid/bvger_D-6113_2016</w:t>
      </w:r>
    </w:p>
    <w:p>
      <w:r>
        <w:t>FR: TAF D-6113/2016 du 20 juin 2017</w:t>
      </w:r>
    </w:p>
    <w:p>
      <w:r>
        <w:t>IT: TAF D-6113/2016 del 20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w:t>
      </w:r>
    </w:p>
    <w:p>
      <w:r>
        <w:t>Auf die Durchführung eines Schriftenwechsels wurde verzichtet (Art. 111a Abs. 1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6</w:t>
      </w:r>
    </w:p>
    <w:p>
      <w:r>
        <w:t>Bei diesem Ausgang des Verfahrens sind keine Kosten zu erheben (Art. 63 Abs. 1 und 2 VwVG).</w:t>
      </w:r>
    </w:p>
    <w:p>
      <w:r>
        <w:rPr>
          <w:b/>
        </w:rPr>
        <w:t>E. 7</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Der Rechtsvertreter hat keine Kostennote eingereicht, so dass die Entschädigung aufgrund der Akten zu bestimmen und auf insgesamt Fr. 700.- festzusetzen ist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