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D-6107/2020 vom 31. März 2021</w:t>
      </w:r>
    </w:p>
    <w:p>
      <w:r>
        <w:t>Bundesverwaltungsgericht, 2021-03-31, DE</w:t>
      </w:r>
    </w:p>
    <w:p>
      <w:r>
        <w:rPr>
          <w:b/>
        </w:rPr>
        <w:t xml:space="preserve">Quelle: </w:t>
      </w:r>
      <w:r>
        <w:t>https://mcp.opencaselaw.ch/entscheid/bvger_D-6107_2020</w:t>
      </w:r>
    </w:p>
    <w:p>
      <w:r>
        <w:t>FR: TAF D-6107/2020 du 31 mars 2021</w:t>
      </w:r>
    </w:p>
    <w:p>
      <w:r>
        <w:t>IT: TAF D-6107/2020 del 31 marzo 2021</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2 AsylG; Art. 48 Abs. 1 sowie Art. 52 VwVG). Auf die Beschwerde ist einzutreten.</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3.3</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3.4</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 Bestimmung ist nicht unmittelbar anwendbar, sondern kann nur in Verbindung mit einer anderen Norm des nationalen oder internationalen Rechts angerufen werden (vgl. BVGE 2010/45 E. 5).</w:t>
      </w:r>
    </w:p>
    <w:p>
      <w:r>
        <w:rPr>
          <w:b/>
        </w:rPr>
        <w:t>E. 3.5</w:t>
      </w:r>
    </w:p>
    <w:p>
      <w:r>
        <w:t>Droht ein Verstoss gegen übergeordnetes Recht, zum Beispiel gegen eine Norm des Völkerrechts, so besteht ein einklagbarer Anspruch auf Aus-übung des Selbsteintrittsrechts (vgl. BVGE 2010/45 E. 7.2). Die Schweiz ist demnach zum Selbsteintritt verpflichtet, wenn andernfalls eine Verletzung des Non-Refoulement-Gebots nach Art. 33 des Abkommens vom 28. Juli 1951 über die Rechtsstellung der Flüchtlinge (FK, SR 0.142.30), Art. 3 EMRK, Art. 7 des Internationalen Paktes über bürgerliche und politische Rechte (UNO-Pakt II, SR 0.103.2) oder Art. 3 des Übereinkommens vom 10. Dezember 1984 gegen Folter und andere grausame, unmenschliche oder erniedrigende Behandlung oder Strafe (FoK, SR 0.105) droht (vgl. Urteil des BVGer D-5698/2017 vom 6. März 2018 E. 5.2.4).</w:t>
      </w:r>
    </w:p>
    <w:p>
      <w:r>
        <w:rPr>
          <w:b/>
        </w:rPr>
        <w:t>E. 4.1</w:t>
      </w:r>
    </w:p>
    <w:p>
      <w:r>
        <w:t>Den vorinstanzlichen Akten ist zu entnehmen, dass der Beschwerdeführerin von Frankreich ein vom 13. Juni 2018 bis zum 12. Juni 2019 gültiges Schengen-Visum erteilt wurde. Dieser Sachverhalt ist unbestritten. Das SEM ersuchte die französischen Behörden am 14. März 2019 um Aufnahme der Beschwerdeführerin gestützt auf Art. 12 Abs. 2 Dublin-IIIVO. Die französischen Behörden stimmten dem Gesuch um Übernahme am 15. März 2019 zu. Die grundsätzliche Zuständigkeit Frankreichs ist somit gegeben.</w:t>
      </w:r>
    </w:p>
    <w:p>
      <w:r>
        <w:rPr>
          <w:b/>
        </w:rPr>
        <w:t>E. 4.2</w:t>
      </w:r>
    </w:p>
    <w:p>
      <w:r>
        <w:t>Im Lichte von Art. 3 Abs. 2 Dublin-III-VO ist zu prüfen, ob es wesentliche Gründe für die Annahme gibt, das Asylverfahren und die Aufnahmebedingungen für Asylsuchende in Frankreich würden systemische Schwachstellen aufweisen, die eine Gefahr einer unmenschlichen oder entwürdigenden Behandlung im Sinne des Artikels 4 der EU-Grundrechtecharta mit sich bringen würden.</w:t>
      </w:r>
    </w:p>
    <w:p>
      <w:r>
        <w:rPr>
          <w:b/>
        </w:rPr>
        <w:t>E. 4.2.1</w:t>
      </w:r>
    </w:p>
    <w:p>
      <w:r>
        <w:t>Frankreich ist Signatarstaat der EMRK, der FoK und der FK sowie des Zusatzprotokolls der FK vom 31. Januar 1967 (SR 0.142.301) und kommt seinen diesbezüglichen völkerrechtlichen Verpflichtungen grundsätzlich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4.2.2</w:t>
      </w:r>
    </w:p>
    <w:p>
      <w:r>
        <w:t>Unter diesen Umständen ist die Anwendung von Art. 3 Abs. 2 Dublin-III-VO nicht gerechtfertigt.</w:t>
      </w:r>
    </w:p>
    <w:p>
      <w:r>
        <w:rPr>
          <w:b/>
        </w:rPr>
        <w:t>E. 4.3</w:t>
      </w:r>
    </w:p>
    <w:p>
      <w:r>
        <w:t>Die Beschwerdeführerin rügt zunächst die Verletzung des Beschleunigungsgebots (vgl. Art. 29 Abs. 1 BV), weil die Vorinstanz während eines Jahres keine Verfahrenshandlung vorgenommen habe und sie sich inzwischen seit über zwei Jahren in der Schweiz aufhalte. In dieser Hinsicht kann der Beschwerdeführerin nicht gefolgt werden. Die Vorinstanz hat sich an die vorgeschriebenen Fristen gehalten. Ausserdem erklärt sie die lange Verfahrensdauer unter anderem mit der Komplexität des Sachverhaltes und den aus der Covid-19 Pandemie resultierenden Reisebeschränkungen. Diese Erklärung erscheint nachvollziehbar. Die Rüge ist unbegründet.</w:t>
      </w:r>
    </w:p>
    <w:p>
      <w:r>
        <w:rPr>
          <w:b/>
        </w:rPr>
        <w:t>E. 4.4</w:t>
      </w:r>
    </w:p>
    <w:p>
      <w:r>
        <w:t>Die Beschwerdeführerin fordert die Anwendung der Ermessensklausel von Art. 17 Abs. 1 Dublin-III-VO, respektive der - das Selbsteintrittsrecht im Landesrecht konkretisierenden - Bestimmung von Art. 29a Abs. 3 AsylV 1, gemäss welcher das SEM das Asylgesuch "aus humanitären Gründen" auch dann behandeln kann, wenn dafür gemäss Dublin-III-VO ein anderer Staat zuständig wäre.</w:t>
      </w:r>
    </w:p>
    <w:p>
      <w:r>
        <w:rPr>
          <w:b/>
        </w:rPr>
        <w:t>E. 4.4.1</w:t>
      </w:r>
    </w:p>
    <w:p>
      <w:r>
        <w:t>Die Beschwerdeführerin hat kein konkretes und ernsthaftes Risiko dargetan, das darauf schliessen liesse, die französischen Behörden würden sich weigern, sie aufzunehmen und ihren Antrag auf internationalen Schutz unter Einhaltung der Regeln der Verfahrensrichtlinie zu prüfen. Den Akten sind auch keine Gründe für die Annahme zu entnehmen, Frankreich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Ausserdem ist es der Beschwerdeführerin nicht gelungen darzutun, die sie bei einer Rückführung erwartenden Bedingungen in Frankreich seien derart schlecht, dass sie zu einer Verletzung von Art. 4 der EU-Grundrechtecharta, Art. 3 EMRK oder Art. 3 FoK führen könnten. Das SEM hat die französischen Behörden bereits darüber in Kenntnis gesetzt, dass sie ein potentielles Opfer von Menschenhandel ist. Nach der Überstellung steht es der Beschwerdeführerin frei, ein Asylgesuch einzureichen und die Umstände des Menschenhandels, dessen Opfer sie geworden sei, darzulegen. Da die Beschwerdeführerin bislang nicht in Kontakt mit den französischen Behörden stand, sind keine konkreten Hinweise dafür ersichtlich, diese würden den von Frankreich eingegangenen völkerrechtlichen Verpflichtungen nicht nachkommen. Konkrete Anhaltspunkte dafür, dass sie in Frankreich Opfer eines Re-Trafficking werden könnte, sind den Akten ebenfalls nicht zu entnehmen. Sollte sie sich in Frankreich bedroht fühlen oder unter Druck gesetzt werden, kann sie sich an die zuständigen französischen Sicherheitsbehörden wenden, die verpflichtet sind, sich ihr und ihren Bedürfnissen anzunehmen. Die Beschwerdeführerin hat schliesslich auch keine konkreten Hinweise für die Annahme dargetan, Frankreich würde ihr dauerhaft die ihr gemäss Aufnahmerichtlinie zustehenden minimalen Lebensbedingungen vorenthalten. Bei einer allfälligen vorübergehenden Einschränkung könnte sie sich im Übrigen nötigenfalls an die französischen Behörden wenden und die ihr zustehenden Aufnahmebedingungen auf dem Rechtsweg einfordern (vgl. Art. 26 Aufnahmerichtlinie). Aufgrund des derzeitigen Erkenntnisstandes ist nicht angezeigt, das SEM dazu zu verpflichten, bei den französischen Behörden Garantien dafür einzuholen, dass diese sich an die von ihnen eingegangenen völkerrechtlichen Verpflichtungen halten werden. Aus Sicht der potenziellen Opfer von Menschenhandel wäre es allerdings begrüssenswert, wenn das SEM im Rahmen der Vollzugsmodalitäten von den französischen Behörden Zusicherungen bezüglich des Zugangs zum Schutzsystem für Opfer von Menschenhandel erhielte, da dies dazu beitragen könnte, nachvollziehbare Ängste vor einer Überstellung abzubauen.</w:t>
      </w:r>
    </w:p>
    <w:p>
      <w:r>
        <w:rPr>
          <w:b/>
        </w:rPr>
        <w:t>E. 4.4.2</w:t>
      </w:r>
    </w:p>
    <w:p>
      <w:r>
        <w:t>Die Beschwerdeführerin machte ferner gesundheitliche Probleme geltend. 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Frankreich verfügt über eine ausreichende medizinische Infrastruktur und ist verpflichtet, Asylgesuchstellenden die erforderliche medizinische Versorgung, die zumindest die Notversorgung und die unbedingt erforderliche Behandlung von Krankheiten und schweren psychischen Störungen umfasst, zugänglich zu machen (Art. 19 Abs. 1 Aufnahmerichtlinie); Antragstellenden mit besonderen Bedürfnissen ist die erforderliche medizinische oder sonstige Hilfe (einschliesslich nötigenfalls einer geeigneten psychologischen Betreuung) zu gewähren (Art. 19 Abs. 2 Aufnahmerichtlinie). Es bestehen im vorliegenden Fall keine Anhaltspunkte dafür, dass der Beschwerdeführerin die von ihr benötigte medizinische Behandlung in Frankreich nicht gewährt würde. Das SEM wird die französischen Behörden im Rahmen der Überstellung davon in Kenntnis setzen, dass die Beschwerdeführerin geltend macht, Opfer von Menschenhandel geworden zu sein, gesundheitlich angeschlagen ist und medizinischer Betreuung bedarf. Es kann weder davon ausgegangen werden, dass sie bei einer Überstellung nach Frankreich mit dem sicheren Tod rechnen muss noch mangels angemessener medizinischer Behandlung einer ernsten, raschen und unwiederbringlichen Verschlechterung ihres Gesundheitszustands ausgesetzt sein wird. Die Vollzugsbehörden haben dafür besorgt zu sein, dass der Beschwerdeführerin im Hinblick auf eine Überstellung nach Frankreich die notwendige medizinische Betreuung zuteilwird (vgl. Art. 31 f. Dublin-III-VO). Die Überstellung nach Frankreich ist angemessen zu organisieren und allenfalls eine medizinische Begleitperson beizugeben. Falls notwendig, ist sicherzustellen, dass sie ab ihrer Einreise fachmännisch betreut und begleitet wird. Der Gesundheitszustand der Beschwerdeführerin vermag die Annahme einer Unzulässigkeit des Vollzugs der Überstellung nach Frankreich im Sinne der vorstehend skizzierten restriktiven Rechtsprechung nicht zu rechtfertigen.</w:t>
      </w:r>
    </w:p>
    <w:p>
      <w:r>
        <w:rPr>
          <w:b/>
        </w:rPr>
        <w:t>E. 4.5</w:t>
      </w:r>
    </w:p>
    <w:p>
      <w:r>
        <w:t>Soweit die Beschwerdeführerin das Vorliegen von "humanitären Gründen" geltend macht, ist Folgendes festzuhalten:</w:t>
      </w:r>
    </w:p>
    <w:p>
      <w:r>
        <w:rPr>
          <w:b/>
        </w:rPr>
        <w:t>E. 4.5.1</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4.5.2</w:t>
      </w:r>
    </w:p>
    <w:p>
      <w:r>
        <w:t>Das SEM stellte sich in der angefochtenen Verfügung auf den Standpunkt, die Beschwerdeführerin habe keine konkreten Hinweise vorgebracht, wonach sie bei einer Überstellung nach Frankreich einen ernsthaften Nachteil oder einer gravierenden Menschenrechtsverletzung gemäss Art. 3 und 4 EMRK ausgesetzt wäre. Die Tatsache, dass sie in der Vergangenheit Opfer von Menschenhandel gewesen sei, sei bei einer Überstellung kein ausreichender Grund für ein tatsächliches Risiko des Re-Traffickings. Gemäss der Zustimmung Frankreichs werde sie sodann nicht an den Ort überstellt, an welchem sie Opfer von Ausbeutung geworden sei. Zudem könne den Akten nicht entnommen werden, dass sie sich in Frankreich an die Behörden gewandt hätte. Es würden somit keine objektiven, konkreten und ernsthaften Hinweise aus den Akten ergeben, wonach die französischen Behörden, wenn sie über die entsprechenden Informationen verfügen, nicht alle erforderlichen Massnahmen ergreifen würden, um die Beschwerdeführerin ihrer Situation entsprechend unterzubringen und zu betreuen. Im Weiteren gebe es keine Hinweise, dass die Überstellung gegen Bestimmungen der EMRK verstossen würde. Dass die Beschwerdeführerin bemüht sei, sich in der Schweiz zu integrieren, habe ebenfalls keinen Einfluss auf die Zuständigkeit für das Asyl- und Wegweisungsverfahren. Es sei grundsätzlich nicht Sache der betroffenen Person, den für ihr Asylverfahren zuständigen Staat selber zu wählen. Die Tatsache, dass sie sich seit Januar 2019 in der Schweiz aufhalte, vermöge daran nichts zu ändern. Die angefochtene Verfügung ist unter diesem Blickwinkel nicht zu beanstanden; insbesondere sind den Akten keine Hinweise auf einen Ermessensmissbrauch oder ein Über- respektive Unterschreiten des Ermessens zu entnehmen.</w:t>
      </w:r>
    </w:p>
    <w:p>
      <w:r>
        <w:rPr>
          <w:b/>
        </w:rPr>
        <w:t>E. 4.5.3</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4.6</w:t>
      </w:r>
    </w:p>
    <w:p>
      <w:r>
        <w:t>Somit bleibt Frankreich der für die Behandlung des Asylgesuchs der Beschwerdeführerin zuständige Mitgliedstaat gemäss Dublin-III-VO. Frankreich ist verpflichtet, das Asylverfahren gemäss Art. 21, 22 und 29 aufzunehmen, sofern die Beschwerdeführerin bei den französischen Behörden um Asyl nachsucht. Es erübrigt sich, auf die weiteren Ausführungen in den Beschwerdeeingaben und die eingereichten Beweismittel im Einzelnen einzugehen, da sie an der vorgenommenen Würdigung des vorliegenden Sachverhalts nichts zu ändern vermögen.</w:t>
      </w:r>
    </w:p>
    <w:p>
      <w:r>
        <w:rPr>
          <w:b/>
        </w:rPr>
        <w:t>E. 5</w:t>
      </w:r>
    </w:p>
    <w:p>
      <w:r>
        <w:t>Das SEM ist demnach zu Recht in Anwendung von Art. 31a Abs. 1 Bst. b AsylG auf das Asylgesuch der Beschwerdeführerin nicht eingetreten. Da die Beschwerdeführerin nicht im Besitz einer gültigen Aufenthalts- oder Niederlassungsbewilligung ist, wurde die Überstellung nach Frankreich in Anwendung von Art. 44 AsylG ebenfalls zu Recht angeordnet (Art. 32 Bst. a AsylV 1).</w:t>
      </w:r>
    </w:p>
    <w:p>
      <w:r>
        <w:rPr>
          <w:b/>
        </w:rPr>
        <w:t>E. 6</w:t>
      </w:r>
    </w:p>
    <w:p>
      <w:r>
        <w:t>Da das Fehlen von Überstellungshindernissen bereits Voraussetzung des Nichteintretensentscheides gemäss Art. 31a Abs. 1 Bst. b AsylG ist, sind allfällige Wegweisungsvollzugshindernisse gemäss Art. 83 Abs. 3 und 4 AuG (SR 142.20) unter diesen Umständen nicht mehr zu prüfen (vgl. BVGE 2015/18 E. 5.2 m.w.H.).</w:t>
      </w:r>
    </w:p>
    <w:p>
      <w:r>
        <w:rPr>
          <w:b/>
        </w:rPr>
        <w:t>E. 7</w:t>
      </w:r>
    </w:p>
    <w:p>
      <w:r>
        <w:t>Nach dem Gesagten ist die Beschwerde abzuweisen und die Verfügung des SEM zu bestätigen.</w:t>
      </w:r>
    </w:p>
    <w:p>
      <w:r>
        <w:rPr>
          <w:b/>
        </w:rPr>
        <w:t>E. 8.1</w:t>
      </w:r>
    </w:p>
    <w:p>
      <w:r>
        <w:t>Bei diesem Ausgang des Verfahrens wären die Kosten grundsätzlich der Beschwerdeführerin aufzuerlegen (Art. 63 Abs. 1 VwVG). Nachdem aber mit Zwischenverfügung vom 22. Januar 2021 die unentgeltliche Prozessführung gemäss Art. 65 Abs. 1 VwVG gewährt wurde und sich an den Voraussetzungen dazu nichts geändert hat, sind keine Verfahrenskosten zu erheben.</w:t>
      </w:r>
    </w:p>
    <w:p>
      <w:r>
        <w:rPr>
          <w:b/>
        </w:rPr>
        <w:t>E. 8.2</w:t>
      </w:r>
    </w:p>
    <w:p>
      <w:r>
        <w:t>Mit gleicher Verfügung wurde das Gesuch um unentgeltliche Rechtsverbeiständung gutgeheissen und der Beschwerdeführerin ihre Rechtsvertreterin als amtliche Rechtsbeiständin beigeordnet. Die bei den Akten liegende Kostennote erscheint den Verfahrensumständen als angemessen. Nach deren Einreichung wurden noch zwei Eingaben getätigt. Der Rechtsvertreterin ist unter Berücksichtigung der massgebenden Bemessungsfaktoren (Art. 9 - 13 des Reglements vom 21. Februar 2008 über die Kosten und Entschädigungen vor dem Bundesverwaltungsgericht [VGKE, SR 173.320.2]) und der Entschädigungspraxis in vergleichbaren Fällen zulasten der Gerichtskasse ein amtliches Honorar von insgesamt Fr. 1'300.- (inkl. Auslagen) zuzusprechen. Das Honorar beinhaltet keinen Mehrwertsteuerzuschlag im Sinne von Art. 9 Abs. 1 Bst. c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