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D-6105/2015 vom 29. Juni 2017</w:t>
      </w:r>
    </w:p>
    <w:p>
      <w:r>
        <w:t>Bundesverwaltungsgericht, 2017-06-29, DE</w:t>
      </w:r>
    </w:p>
    <w:p>
      <w:r>
        <w:rPr>
          <w:b/>
        </w:rPr>
        <w:t xml:space="preserve">Quelle: </w:t>
      </w:r>
      <w:r>
        <w:t>https://mcp.opencaselaw.ch/entscheid/bvger_D-6105_2015</w:t>
      </w:r>
    </w:p>
    <w:p>
      <w:r>
        <w:t>FR: TAF D-6105/2015 du 29 juin 2017</w:t>
      </w:r>
    </w:p>
    <w:p>
      <w:r>
        <w:t>IT: TAF D-6105/2015 del 29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4.6</w:t>
      </w:r>
    </w:p>
    <w:p>
      <w:r>
        <w:t>Ein Abgleich der Fingerabdrücke des Beschwerdeführers mit der "Eurodac"-Datenbank ergab, dass dieser am 2. Juni 2015 in Ungarn daktyloskopisch erfasst worden war. Die ungarischen Behörden liessen das Übernahmeersuchen innert der in Art. 25 Abs. 1 Dublin-III-VO vorgesehenen Frist unbeantwortet, womit sie die Zuständigkeit Ungarns implizit anerkannten (Art. 25 Abs. 2 Dublin-III-VO). Damit ist die grundsätzliche Zuständigkeit Ungarns gegeben, was auch seitens des Beschwerdeführers nicht bestritten wurde.</w:t>
      </w:r>
    </w:p>
    <w:p>
      <w:r>
        <w:rPr>
          <w:b/>
        </w:rPr>
        <w:t>E. 5.1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von Art. 4 EU-Grundrechtecharta mit sich bringen und welche die grundsätzliche Zuständigkeit Ungarns im Sinne von Art. 3 Abs. 1 Dublin-III-VO durchbrechen würden.</w:t>
      </w:r>
    </w:p>
    <w:p>
      <w:r>
        <w:rPr>
          <w:b/>
        </w:rPr>
        <w:t>E. 5.2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5.3</w:t>
      </w:r>
    </w:p>
    <w:p>
      <w:r>
        <w:t>Mit derselben Begründung, wie sie vorstehend dargelegt wurde, ist es dem Gericht vorliegend nicht möglich, die Sache abschliessend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6</w:t>
      </w:r>
    </w:p>
    <w:p>
      <w:r>
        <w:t>Die Beschwerde ist somit gutzuheissen, soweit die Aufhebung der vorinstanzlichen Verfügung beantragt wurde.</w:t>
      </w:r>
    </w:p>
    <w:p>
      <w:r>
        <w:rPr>
          <w:b/>
        </w:rPr>
        <w:t>E. 7.1</w:t>
      </w:r>
    </w:p>
    <w:p>
      <w:r>
        <w:t>Bei diesem Ausgang des Verfahrens sind keine Kosten zu erheben (Art. 63 Abs. 1 und 2 VwVG). Die Gesuche um Gewährung der unentgeltlichen Prozessführung und um Verzicht auf die Erhebung eines Kostenvorschusses werden gegenstandslos.</w:t>
      </w:r>
    </w:p>
    <w:p>
      <w:r>
        <w:rPr>
          <w:b/>
        </w:rPr>
        <w:t>E. 7.2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Gemäss der aktualisierten Kostennote vom 1. Juli 2016 werden ein zeitlicher Aufwand von insgesamt 7,75 Stunden bei einem Stundenansatz von Fr. 200.- und Auslagen in der Höhe von Fr. 30.-, mithin ein Gesamtaufwand von Fr. 1580.- geltend gemacht. Das Gericht erachtet den ausgewiesenen Aufwand als übersetzt, zumal es sich um eine mehrheitlich standardisierte Eingabe handelt, die in ähnlicher Weise auch bei zahlreichen anderen Dublin-Ungarn-Fällen verfasst worden ist, weshalb eine entsprechende Kürzung vorzunehmen ist. Unter Berücksichtigung der massgebenden Bemessungsfaktoren (Art. 7 ff. VGKE) und der Entschädigungspraxis in Vergleichsfällen ist dem Beschwerdeführer vom SEM eine Entschädigung von pauschal Fr. 700.-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