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D-6098/2013 vom 6. Dezember 2013</w:t>
      </w:r>
    </w:p>
    <w:p>
      <w:r>
        <w:t>Bundesverwaltungsgericht, 2013-12-06, DE</w:t>
      </w:r>
    </w:p>
    <w:p>
      <w:r>
        <w:rPr>
          <w:b/>
        </w:rPr>
        <w:t xml:space="preserve">Quelle: </w:t>
      </w:r>
      <w:r>
        <w:t>https://mcp.opencaselaw.ch/entscheid/bvger_D-6098_2013</w:t>
      </w:r>
    </w:p>
    <w:p>
      <w:r>
        <w:t>FR: TAF D-6098/2013 du 6 décembre 2013</w:t>
      </w:r>
    </w:p>
    <w:p>
      <w:r>
        <w:t>IT: TAF D-6098/2013 del 6 dicembre 2013</w:t>
      </w:r>
    </w:p>
    <w:p>
      <w:pPr>
        <w:pStyle w:val="Heading2"/>
      </w:pPr>
      <w:r>
        <w:t>Regeste</w:t>
      </w:r>
    </w:p>
    <w:p>
      <w:r>
        <w:t>Rechtsverzögerung/Rechtsverweigerung</w:t>
      </w:r>
    </w:p>
    <w:p>
      <w:pPr>
        <w:pStyle w:val="Heading2"/>
      </w:pPr>
      <w:r>
        <w:t>Erwägungen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(vgl. Art. 61 Abs. 1 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(vgl. BVGE 2008/15 E. 3.1.2 S. 193, mit weiteren Hinweisen).</w:t>
      </w:r>
    </w:p>
    <w:p>
      <w:r>
        <w:rPr>
          <w:b/>
        </w:rPr>
        <w:t>E. 3.1</w:t>
      </w:r>
    </w:p>
    <w:p>
      <w:r>
        <w:t>Das Verbot der Rechtsverweigerung respektive Rechtsverzögerung ergibt sich aus Art. 29 Abs. 1 der Bundesverfassung der Schweizerischen Eidgenossenschaft vom 18. April 1999 (BV, SR 101). Demnach hat jede Person unter anderem Anspruch auf eine Beurteilung ihrer Sache innert angemessener Frist. Diese Verfassungsgarantie gilt für alle Sachbereiche und alle Akte der Rechtsanwendung (vgl. BGE 130 I 173 f., mit weiteren Hinweisen).</w:t>
      </w:r>
    </w:p>
    <w:p>
      <w:r>
        <w:rPr>
          <w:b/>
        </w:rPr>
        <w:t>E. 3.2</w:t>
      </w:r>
    </w:p>
    <w:p>
      <w:r>
        <w:t>Eine Rechtsverweigerung liegt vor, wenn sich eine Behörde weigert, eine Verfügung zu erlassen, obwohl sie dazu aufgrund der einschlägigen Rechtsnormen verpflichtet wäre. Rechtsverzögerung ist dann anzunehmen, wenn sich die Behörde zwar grundsätzlich bereit zeigt, die in Frage stehende Verfügung zu erlassen, dies aber nicht innert gesetzlicher oder - falls eine solche fehlt - angemessener Frist tut und für die Verzögerung kein objektiver Rechtfertigungsgrund vorliegt. Die Angemessenheit der Dauer eines Verfahrens ist im Einzelfall unter Berücksichtigung der gesamten Umstände zu beurteilen. In Betracht zu ziehen sind dabei namentlich die Komplexität der Sache, die Bedeutung des Verfahrens für die betroffene Partei, ihr Verhalten und dasjenige der beteiligten Behörde sowie einzelfallspezifische Entscheidungsabläufe (vgl. zum Ganzen BGE 130 I 312 E. 5.1 und 5.2, mit weiteren Hinweisen auf Lehre und Praxis). Ein Verschulden der Behörde an der Verzögerung wird nicht vorausgesetzt; somit verletzt sie das Rechtsverzögerungsverbot auch dann, wenn sie wegen Personalmangels oder Überlastung nicht innert angemessener Frist verfügt (vgl. BGE 107 Ib 160 E. 3c, BGE 103 V 190 E. 5.2; Uhlmann/Wälle-Bär, a.a.O., Art. 46a N 20).</w:t>
      </w:r>
    </w:p>
    <w:p>
      <w:r>
        <w:rPr>
          <w:b/>
        </w:rPr>
        <w:t>E. 4.1</w:t>
      </w:r>
    </w:p>
    <w:p>
      <w:r>
        <w:t>Das geltende Asylgesetz enthält weder materielle Bestimmungen zum Wiedererwägungsgesuch, noch solche zu entsprechenden Verfahrensfristen. Angesichts des Charakters des Wiedererwägungsverfahrens als ausserordentliches Rechtsmittel - mithin aufgrund des Vorliegens eines rechtskräftigen Entscheides - erscheint es indessen als naheliegend, dass in diesen Fällen eine beförderliche Verfahrenserledigung angezeigt ist. Dies kommt denn auch in dem ab 1. Januar 2014 zur Anwendung gelangenden Artikel 111b Abs. 2 AsylG zum Ausdruck, welcher für Nichteintretensentscheide auf Wiedererwägungsgesuche eine Behandlungsfrist (in der Regel) von fünf Arbeitstagen, in den übrigen Fällen eine solche von (in der Regel) zehn Arbeitstagen nach der Gesuchstellung (vgl. BBl 2012 9696) vorsieht.</w:t>
      </w:r>
    </w:p>
    <w:p>
      <w:r>
        <w:rPr>
          <w:b/>
        </w:rPr>
        <w:t>E. 4.2</w:t>
      </w:r>
    </w:p>
    <w:p>
      <w:r>
        <w:t>Das Wiedererwägungsgesuch der Beschwerdeführenden ging am 20. Juni 2012 beim BFM ein (vgl. Akten BFM C 1/21). Dem Gesuch lag nebst der von der Beschwerdeführerin unterzeichneten Vollmacht unter anderem eine Bestätigung des Kinderschutzzentrums C._______ über die Beratung der Beschwerdeführerin sowie ein Artikel "Zeugung durch Vergewaltigung - Folgen für Mütter und Kinder" bei. Nach einer weiteren Eingabe des Rechtsvertreters der Beschwerdeführenden vom 12. Juli 2012 ersuchte das BFM die zuständige kantonale Migrationsbehörde mit Schreiben vom 17. Oktober 2012 um einstweilige Aussetzung des Wegweisungsvollzugs. Weitere Verfahrenshandlungen seitens des Bundesamtes sind aus den Akten nicht ersichtlich. Ebenso wenig geht aus der vorinstanzlichen Vernehmlassung vom 21. November 2013 hervor, dass und welche weiteren Abklärungen vor einer Entscheidfällung noch vorzunehmen wären. Vielmehr verweist das BFM auf die erhöhte Geschäftslast und hält fest, die umfassende Restrukturierung des Asylbereichs habe kürzlich abgeschlossen werden können. Das Bundesamt sei bestrebt, die pendenten Asylgesuche abzubauen, so rasch es die verfügbaren Ressourcen erlaubten, wobei es jedoch auch nach sinnvollen Prioritäten vorgehe. Es wäre stossend, wenn Rechtsvertreter in Einzelfällen wie dem vorliegenden mit der Androhung und Einreichung von Rechtsverzögerungsbeschwerden erreichen könnten, dass ihre Mandanten eine Vorzugsbehandlung erhielten gegenüber Asylsuchenden, die bereits länger auf einen Entscheid warteten. Aus diesen Gründen sei von der Ansetzung einer Erledigungsfrist abzusehen und die Beschwerde abzuweisen.</w:t>
      </w:r>
    </w:p>
    <w:p>
      <w:r>
        <w:rPr>
          <w:b/>
        </w:rPr>
        <w:t>E. 4.3</w:t>
      </w:r>
    </w:p>
    <w:p>
      <w:r>
        <w:t>Das Bundesgericht hat in seiner Rechtsprechung zum Rechtsverzögerungsverbot festgehalten, dass eine mangelhafte Organisation oder eine strukturelle Überbelastung übermässig lange Verfahrensdauern nicht rechtfertigen können. Eine angemessene Entscheidungsfrist müsse nicht nur in Zeiten eines durchschnittlichen Geschäftseinganges gewährleistet sein, sondern auch in Zeiten einer vorübergehenden Überbelastung. Geschäftslast und Personalmangel könnten eine Verletzung von Verfassungsrecht nicht durchbrechen. Es wird entsprechend für die Bejahung einer Verletzung des Rechtsverzögerungsgebots nicht vorausgesetzt, dass der Behörde ein Fehlverhalten oder ein Verschulden vorgeworfen werden kann. Eine Behörde verletzt deshalb das Rechtsverzögerungsverbot auch dann, wenn sie wegen Personalmangels oder Überlastung nicht innert angemessener Frist verfügt (vgl. BGE 130 I 312 E. 5.2, 107 Ib 160 E. 3c und 103 V 190 E. 5c; Urteil des Eidgenössischen Versicherungsgerichts H 2/06 vom 10. April 2006, E. 4.1; vgl. auch Anreas Auer/Giorgio Malinverni/Michel Hottelier, Droit constitutionel suisse, Vol. II, 2. Aufl., Bern 2006, Rz. 1277 f.; Michel Hottelier, Les garanties de procédure, in: Thürer/Aubert/Müller [Hrsg.], Verfassungsrecht der Schweiz, Droit constitutionnel suisse, Zürich 2001, Rz. 7). Diese Grundsätze ergeben sich aus dem Umstand, dass das Beschleunigungsgebot von Art. 29 BV ein prozessuales Grundrecht darstellt und damit ein individuelles (Prozess-)Recht der Beschwerdeführenden statuiert. Sie gelten auch für nichtstreitige Verwaltungsverfahren. Das BFM kann sich deshalb zur Rechtfertigung der langen Verfahrensdauer - auch wenn das Gericht dafür durchaus Verständnis hat - nicht pauschal beziehungsweise in jedem Einzelfall auf eine hohe Geschäftslast und mangelnde Ressourcen berufen. Dies gilt unabhängig davon, ob es alles in seiner Macht stehende tut, um die pendenten Verfahren so schnell wie möglich und in einer angemessenen, sachlich nachvollziehbaren Reihenfolge abzubauen.</w:t>
      </w:r>
    </w:p>
    <w:p>
      <w:r>
        <w:rPr>
          <w:b/>
        </w:rPr>
        <w:t>E. 4.4</w:t>
      </w:r>
    </w:p>
    <w:p>
      <w:r>
        <w:t>Nach dem Gesagten ergibt sich, dass die Verfahrensdauer vorliegend in Anbetracht der Umstände des Einzelfalls - seit dem 17. Oktober 2012 sind keine Verfahrenshandlungen seitens des Bundesamtes erfolgt und es ist auch nicht ersichtlich, dass und welche weiteren Abklärungen geplant wären - als übermässig lang zu betrachten ist.</w:t>
      </w:r>
    </w:p>
    <w:p>
      <w:r>
        <w:rPr>
          <w:b/>
        </w:rPr>
        <w:t>E. 4.5</w:t>
      </w:r>
    </w:p>
    <w:p>
      <w:r>
        <w:t>Die Rechtsverzögerungsbeschwerde ist gutzuheissen, und die Akten sind dem BFM mit der Anweisung zu überweisen, über das Wiedererwägungsgesuch der Beschwerdeführenden zügig zu entscheiden. Von der beantragten Ansetzung einer Frist, innert welcher das (zweite) Wiedererwägungsverfahren erledigt sein muss, wird abgesehen. 5.1 Bei diesem Ausgang des Verfahrens sind keine Kosten zu erheben (Art. 63 Abs. 1 und 2 VwVG). Das in der Beschwerde vom 28. Oktober 2013 gestellte Gesuch um Gewährung der unentgeltlichen Rechtspflege wird damit gegenstandslos. 5.2 Den Beschwerdeführenden ist als obsiegende Partei zu Lasten der Vorinstanz eine Entschädigung für die ihr erwachsenen notwendigen und verhältnismässig hohen Kosten zuzusprechen (Art. 64 Abs. 1 VwVG i.V.m. Art. 7 Abs. 1 und 2 des Reglements vom 21. Februar 2008 über die Kosten und Entschädigungen vor dem Bundesverwaltungsgericht [VGKE, SR 173.320.2]). Nachdem der Rechtsvertreter keine Kostennote eingereicht hat, ist die Parteientschädigung auf Grund der Akten festzulegen (Art. 14 Abs. 2 in fine BGKE). Unter Berücksichtigung der massgeblichen Bemessungsfaktoren (vgl. Art. 8 ff. VGKE) ist die Parteientschädigung auf Fr. 300.- (inkl. Auslagen) festzusetzen. Gleichzeitig ist das BFM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