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D-6097/2013 vom 26. November 2013</w:t>
      </w:r>
    </w:p>
    <w:p>
      <w:r>
        <w:t>Bundesverwaltungsgericht, 2013-11-26, DE</w:t>
      </w:r>
    </w:p>
    <w:p>
      <w:r>
        <w:rPr>
          <w:b/>
        </w:rPr>
        <w:t xml:space="preserve">Quelle: </w:t>
      </w:r>
      <w:r>
        <w:t>https://mcp.opencaselaw.ch/entscheid/bvger_D-6097_2013</w:t>
      </w:r>
    </w:p>
    <w:p>
      <w:r>
        <w:t>FR: TAF D-6097/2013 du 26 novembre 2013</w:t>
      </w:r>
    </w:p>
    <w:p>
      <w:r>
        <w:t>IT: TAF D-6097/2013 del 26 novembre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Nach dem Gesagten ist das Bundesverwaltungsgericht zur Beurteilung der vorliegenden Rechtsverzögerungsbeschwerde zuständig.</w:t>
      </w:r>
    </w:p>
    <w:p>
      <w:r>
        <w:rPr>
          <w:b/>
        </w:rPr>
        <w:t>E. 1.2</w:t>
      </w:r>
    </w:p>
    <w:p>
      <w:r>
        <w:t>Mit der Änderung des Asylgesetzes vom 28. September 2012 ist die Möglichkeit der Einreichung eines Asylgesuches aus dem Ausland weggefallen (vgl. AS 2012 5359). Das vorliegende Urteil ergeht gestützt auf die Übergangsbestimmung zur vorgenannten Änderung, wonach für Asylgesuche, die im Ausland vor dem Inkrafttreten der Änderung gestellt worden sind, die Art. 12, 19, 20, 41 Abs. 2, 52 und 68 AsylG in der bisherigen Fassung des Gesetzes gelten. Wird demnach nachfolgend auf das AsylG oder Verordnungstexte verwiesen, bezieht sich dies stets auf die bisherige Fassung der entsprechenden Bestimmungen.</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Beschwerdeführerin um eine Einreisebewilligung und Asyl in Form einer anfechtbaren Verfügung ersucht, ist sie zur Beschwerdeführung legitimiert.</w:t>
      </w:r>
    </w:p>
    <w:p>
      <w:r>
        <w:rPr>
          <w:b/>
        </w:rPr>
        <w:t>E. 2.2</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immer noch ein schutzwürdiges (mithin aktuelles und praktisches) Interesse an der Vornahme der verzögerten Amtshandlung haben (vgl. Ursina Beerli-Bonorand, Die ausserordentlichen Rechtsmittel in der Verwaltungsrechtspflege des Bundes und der Kantone, Zürich 1985, S. 221 f.). Das schutzwürdige Interesse der Beschwerdeführerin und ihres Sohnes an der Vornahme der allenfalls verzögerten Amtshandlung manifestiert sich vorliegend bereits in den sich bei den Akten befindenden Eingaben, in denen unter Hinweis auf ihre Gefährdung wiederholt um die baldige Anhandnahme ihres Gesuchs ersucht wurde.</w:t>
      </w:r>
    </w:p>
    <w:p>
      <w:r>
        <w:rPr>
          <w:b/>
        </w:rPr>
        <w:t>E. 2.3</w:t>
      </w:r>
    </w:p>
    <w:p>
      <w:r>
        <w:t>Auf die frist- und formgerecht eingereichte Rechtsverzögerungsbeschwerde ist einzutreten.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alt Art. 70 Abs. 2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5</w:t>
      </w:r>
    </w:p>
    <w:p>
      <w:r>
        <w:t>In der Rechtsverzögerungsbeschwerde wird unter Hinweis auf Art. 29 Abs. 1 der Bundesverfassung der Schweizerischen Eidgenossenschaft vom 18. April 1999 (BV, SR 101) und die dazu ergangene Rechtsprechung geltend gemacht, es sei für die Behandlung des Gesuches auf Art. 37 Abs. 3 AsylG abzustellen und damit von einer grundsätzlichen Behandlungsfrist von drei Monaten auszugehen. Diese Ordnungsfrist sei nach der bundesgerichtlichen Rechtsprechung für die Angemessenheit der Verfahrensdauer massgeblich. Ausserdem seien Verfahren mit Kinderbeteiligung zügig zu führen und unnötige Verzögerungen zu vermeiden.</w:t>
      </w:r>
    </w:p>
    <w:p>
      <w:r>
        <w:rPr>
          <w:b/>
        </w:rPr>
        <w:t>E. 6.1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6.2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Müller, a.a.O. Rz. 6 zu Art. 46a). Ein Verschulden der Behörde an der Verzögerung wird nicht vorausgesetzt, weshalb sie das Rechtsverzögerungsverbot auch dann verletzt, wenn sie wegen Personalmangels oder Überlastung nicht innert angemessener Frist verfügt (vgl. BGE 107 I b 160 E. 3c, BGE 103 V 190 E. 5.2; Felix Uhlmann/Simone Wälle-Bär, in: Praxiskommentar VwVG, Waldmann/Weissenberger (Hrsg.), Zürich 2009, Art. 46a N 20).</w:t>
      </w:r>
    </w:p>
    <w:p>
      <w:r>
        <w:rPr>
          <w:b/>
        </w:rPr>
        <w:t>E. 6.3.1</w:t>
      </w:r>
    </w:p>
    <w:p>
      <w:r>
        <w:t>Nach den in Art. 37 AsylG festgelegten erstinstanzlichen Verfahrensfristen sind Entscheide nach den Artikeln 38 - 40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 Das Auslandverfahren gemäss Art. 20 aAsylG weist zwar Besonderheiten auf, welche die Beachtung dieser Fristen erschweren, namentlich die teilweise lange Dauer der postalischen Übermittlung von Unterlagen. Dieser Umstand ist indessen vorliegend nicht von Bedeutung, sind doch bis zur Einleitung des Beschwerdeverfahrens keinerlei Instruktionen erfolgt. Im Übrigen bezweckt das Asylverfahren den Schutz höchster Rechtsgüter wie Leib, Leben und persönlicher Freiheit (Art. 3 Abs. 2 AsylG), und die Asylsuchenden halten sich im Auslandverfahren in der Regel im Verfolgerstaat auf, weshalb in diesen Fällen eine beförderliche Behandlung der Gesuche sachlich geboten ist.</w:t>
      </w:r>
    </w:p>
    <w:p>
      <w:r>
        <w:rPr>
          <w:b/>
        </w:rPr>
        <w:t>E. 6.3.2</w:t>
      </w:r>
    </w:p>
    <w:p>
      <w:r>
        <w:t>Die Beschwerdeführerin und ihr Sohn halten sich zwar nicht im Heimatstaat, sondern im Sudan auf. In den Schreiben des Bruders oder des Rechtsvertreters wurde wiederholt auf die schwierige Lage der Beschwerdeführerin hingewiesen.</w:t>
      </w:r>
    </w:p>
    <w:p>
      <w:r>
        <w:rPr>
          <w:b/>
        </w:rPr>
        <w:t>E. 6.3.3</w:t>
      </w:r>
    </w:p>
    <w:p>
      <w:r>
        <w:t>Zunächst einmal ist festzuhalten, dass sich in vorliegendem Fall keine komplexen Rechtsfragen stellen, die eine Rechtsverzögerung begründen könnten.</w:t>
      </w:r>
    </w:p>
    <w:p>
      <w:r>
        <w:rPr>
          <w:b/>
        </w:rPr>
        <w:t>E. 6.3.3.1</w:t>
      </w:r>
    </w:p>
    <w:p>
      <w:r>
        <w:t>Die Beschwerdeführerin hat erst mit Schreiben vom 3. Mai 2013 eine Vollmacht vom 20. April 2013 eingereicht und somit die höchstpersönliche Absicht des Einreichens eines Auslandgesuchs belegt. Gemäss asylrechtlicher Praxis gilt die Einreichung eines Asylgesuches als sogenannt "relativ höchstpersönliches Recht" (vgl. Entscheidungen und Mitteilungen der Schweizerischen Asylrekurskommission [EMARK] 1996 Nr. 5). Die Einleitung eines Asylverfahrens aus dem Ausland durch die urteilsfähige (mündige oder unmündige) Person setzt daher einen persönlichen Antrag derselben voraus. Fehlt ein solcher, ist eine Mangelbehebung indessen nicht zwangsläufig ausgeschlossen. Eine Heilung kann beispielsweise dadurch erfolgen, dass der Inhalt eines vertretungsweise eingereichten Gesuchs anlässlich einer mündlichen Anhörung oder durch Einreichung einer persönlich verfassten oder zumindest unterzeichneten Stellungnahme zum Fragenkatalog des BFM im Falle des Verzichts auf eine Befragung bestätigt wird (vgl. BVGE 2011/39 E. 4.3.2). Vor diesem Hintergrund und angesichts der Pflicht des Bundesamtes zur sorgfältigen Sachverhaltsabklärung ist anzumerken, dass das BFM sich im erstinstanzlichen Verfahren innert nützlicher Frist um eine Willensäusserung der Beschwerdeführerin hätte bemühen und feststellen müssen, ob das in deren Namen eingereichte Asylgesuch ihrem Willen entspricht. Ein fehlender persönlicher Antrag vermag jedenfalls die Untätigkeit des Bundesamtes während nahezu 24 Monaten (Zeitraum zwischen Einreichung des Asylgesuchs vom 10. Mai 2011 und persönlich unterzeichneter Vollmacht vom 20. April 2013) nicht zu rechtfertigen. Hinzu kommt, dass das BFM während der letzten 30 Monate nur gerade eine Empfangsbestätigung ausgestellt hat.</w:t>
      </w:r>
    </w:p>
    <w:p>
      <w:r>
        <w:rPr>
          <w:b/>
        </w:rPr>
        <w:t>E. 6.3.3.2</w:t>
      </w:r>
    </w:p>
    <w:p>
      <w:r>
        <w:t>Dem Bundesverwaltungsgericht ist die hohe Belastung der Vorinstanz bekannt, und es ist nachvollziehbar, dass nicht jedes einzelne Asylverfahren innerhalb der gesetzlichen Behandlungsfristen abgeschlossen werden kann. Verfahren, die länger dauern, sind unvermeidbar, was in der Formulierung von Art. 37 Abs. 2 AsylG ("in der Regel") zum Ausdruck kommt. Nicht hinnehmbar ist dagegen die völlige Untätigkeit im vorliegenden Verfahren während 30 Monaten. Das BFM beantwortete mehrere Eingaben, mit denen um beschleunigte Behandlung ersucht worden war, nicht, so dass sich die Beschwerdeführerin schliesslich zur Einleitung des vorliegenden Beschwerdeverfahrens veranlasst sah. Das Beschleunigungsgebot von Art. 29 Abs. 1 BV wurde klar missachtet.</w:t>
      </w:r>
    </w:p>
    <w:p>
      <w:r>
        <w:rPr>
          <w:b/>
        </w:rPr>
        <w:t>E. 6.4</w:t>
      </w:r>
    </w:p>
    <w:p>
      <w:r>
        <w:t>Die Rüge der Rechtsverzögerung erweist sich demnach als begründet. Die Beschwerde ist gutzuheissen. Die Akten gehen an das BFM zurück, verbunden mit der Anweisung, das Gesuch vom 10. Mai 2011 zügig zu behandeln und einer anfechtbaren Verfügung zuzuführen.</w:t>
      </w:r>
    </w:p>
    <w:p>
      <w:r>
        <w:rPr>
          <w:b/>
        </w:rPr>
        <w:t>E. 7.1</w:t>
      </w:r>
    </w:p>
    <w:p>
      <w:r>
        <w:t>Bei diesem Ausgang des Verfahrens sind keine Verfahrenskosten aufzuerlegen (Art. 63 Abs.1 VwVG). Das Gesuch um Gewährung der unentgeltlichen Prozessführung wird damit gegenstandslos.</w:t>
      </w:r>
    </w:p>
    <w:p>
      <w:r>
        <w:rPr>
          <w:b/>
        </w:rPr>
        <w:t>E. 7.2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Aufgrund der Akten ist nicht davon auszugehen, dem nicht durch einen Anwalt, sondern eine Privatperson vertretenen Beschwerdeführer seien verhältnismässig hohe Kosten entstanden, weshalb keine Parteientschädigung zuzusprechen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