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D-6096/2020 vom 23. August 2023</w:t>
      </w:r>
    </w:p>
    <w:p>
      <w:r>
        <w:t>Bundesverwaltungsgericht, 2023-08-23, FR</w:t>
      </w:r>
    </w:p>
    <w:p>
      <w:r>
        <w:rPr>
          <w:b/>
        </w:rPr>
        <w:t xml:space="preserve">Quelle: </w:t>
      </w:r>
      <w:r>
        <w:t>https://mcp.opencaselaw.ch/entscheid/bvger_D-6096_2020</w:t>
      </w:r>
    </w:p>
    <w:p>
      <w:r>
        <w:t>FR: TAF D-6096/2020 du 23 août 2023</w:t>
      </w:r>
    </w:p>
    <w:p>
      <w:r>
        <w:t>IT: TAF D-6096/2020 del 23 agosto 2023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ce qu’il conclut à la reconnaissance de la qualité de réfugié et à l’octroi de l’asile, ainsi que sur le principe du renvoi.</w:t>
      </w:r>
    </w:p>
    <w:p>
      <w:r>
        <w:rPr>
          <w:b/>
        </w:rPr>
        <w:t>E. 2</w:t>
      </w:r>
    </w:p>
    <w:p>
      <w:r>
        <w:t>Le recours est sans objet en matière d’exécution du renvoi.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versera au recourant la somme de 500 francs à titre de dépens.</w:t>
      </w:r>
    </w:p>
    <w:p>
      <w:r>
        <w:rPr>
          <w:b/>
        </w:rPr>
        <w:t>E. 5</w:t>
      </w:r>
    </w:p>
    <w:p>
      <w:r>
        <w:t>Une indemnité de 500 francs sera directement attribuée à Maître Laura Rossi, par la caisse du Tribunal, à titre d’honoraires et de débours.</w:t>
      </w:r>
    </w:p>
    <w:p>
      <w:r>
        <w:rPr>
          <w:b/>
        </w:rPr>
        <w:t>E. 6</w:t>
      </w:r>
    </w:p>
    <w:p>
      <w:r>
        <w:t>Le présent arrêt est adressé à la mandataire du recourant, ainsi qu’au SEM et à l'autorité cantonale compétente.</w:t>
      </w:r>
    </w:p>
    <w:p>
      <w:r>
        <w:t>Le juge unique : Le greffier :</w:t>
      </w:r>
    </w:p>
    <w:p>
      <w:r>
        <w:t>Yanick Felley Christian Dubois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