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D-6096/2015 vom 9. Juni 2017</w:t>
      </w:r>
    </w:p>
    <w:p>
      <w:r>
        <w:t>Bundesverwaltungsgericht, 2017-06-09, DE</w:t>
      </w:r>
    </w:p>
    <w:p>
      <w:r>
        <w:rPr>
          <w:b/>
        </w:rPr>
        <w:t xml:space="preserve">Quelle: </w:t>
      </w:r>
      <w:r>
        <w:t>https://mcp.opencaselaw.ch/entscheid/bvger_D-6096_2015</w:t>
      </w:r>
    </w:p>
    <w:p>
      <w:r>
        <w:t>FR: TAF D-6096/2015 du 9 juin 2017</w:t>
      </w:r>
    </w:p>
    <w:p>
      <w:r>
        <w:t>IT: TAF D-6096/2015 del 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w:t>
      </w:r>
    </w:p>
    <w:p>
      <w:r>
        <w:rPr>
          <w:b/>
        </w:rPr>
        <w:t>E. 5</w:t>
      </w:r>
    </w:p>
    <w:p>
      <w:r>
        <w:t>Bei diesem Ausgang des Verfahrens sind keine Kosten zu erheben (Art. 63 Abs. 1 und 2 VwVG).</w:t>
      </w:r>
    </w:p>
    <w:p>
      <w:r>
        <w:rPr>
          <w:b/>
        </w:rPr>
        <w:t>E. 6</w:t>
      </w:r>
    </w:p>
    <w:p>
      <w:r>
        <w:t>Soweit aus den Akten ersichtlich, sind dem Beschwerdeführer keine entschädigungspflichtigen Parteikosten entstanden,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