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D-6095/2016 vom 22. August 2017</w:t>
      </w:r>
    </w:p>
    <w:p>
      <w:r>
        <w:t>Bundesverwaltungsgericht, 2017-08-22, DE</w:t>
      </w:r>
    </w:p>
    <w:p>
      <w:r>
        <w:rPr>
          <w:b/>
        </w:rPr>
        <w:t xml:space="preserve">Quelle: </w:t>
      </w:r>
      <w:r>
        <w:t>https://mcp.opencaselaw.ch/entscheid/bvger_D-6095_2016</w:t>
      </w:r>
    </w:p>
    <w:p>
      <w:r>
        <w:t>FR: TAF D-6095/2016 du 22 août 2017</w:t>
      </w:r>
    </w:p>
    <w:p>
      <w:r>
        <w:t>IT: TAF D-6095/2016 del 22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2.1</w:t>
      </w:r>
    </w:p>
    <w:p>
      <w:r>
        <w:t>Mit der vorliegenden Beschwerde wird einzig die Überprüfung der Frage der Flüchtlingseigenschaft beantragt. Gegenstand des vorliegenden Beschwerdeverfahrens bildet demnach lediglich die Frage, ob das SEM die Flüchtlingseigenschaft der Beschwerdeführerin zu Recht verneint hat oder nicht.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Entscheides im Wesentlichen aus, bei den von der Beschwerdeführerin geschilderten familiären Schwierigkeiten liege keine Verfolgungsmotivation im Sinne von Art. 3 AsylG vor beziehungsweise handle es sich nicht um eine asylrelevante Verfolgungsmassnahme. Aus diesem Grund vermöchten die geltend gemachten Asylgründe die Flüchtlingseigenschaft nicht zu begründen. Ferner seien auch die Vorbringen bezüglich der illegalen Ausreise aus Eritrea als asylrechtlich unbeachtlich zu qualifizieren. Da die Beschwerdeführerin weder den Nationaldienst verweigert noch aus demselben desertiert sei und den Akten auch sonst nichts zu entnehmen sei, wonach sie bei einer Rückkehr ernsthafte Nachteile zu gewärtigen hätte, seien die Anforderungen an die Feststellung einer begründeten Furcht vor zukünftiger Verfolgung nicht erfüllt.</w:t>
      </w:r>
    </w:p>
    <w:p>
      <w:r>
        <w:rPr>
          <w:b/>
        </w:rPr>
        <w:t>E. 4.2</w:t>
      </w:r>
    </w:p>
    <w:p>
      <w:r>
        <w:t>Auf Beschwerdeebene wendete die Beschwerdeführerin im Wesentlichen ein, bezüglich der Asylgründe habe die Vorinstanz in korrekter Weise ausgeführt, dass sie keine gezielte und persönliche asylrelevante Verfolgung im Heimatland geltend gemacht habe. Jedoch habe das SEM ihre illegale Ausreise nicht als subjektiven Nachfluchtgrund anerkannt und dabei die ständige Praxis des Bundesverwaltungsgerichts weder erwähnt noch gewürdigt, was eine Verletzung der Begründungspflicht und eine Missachtung der Bindungswirkung der Rechtsprechung darstelle. Mithin sei die Vorgehensweise des SEM bei der Praxisänderung bezüglich der flüchtlingsrechtlichen Beurteilung der illegalen Ausreise aus Eritrea als unzulässig zu erachten. Ausserdem habe es mit der Nichtanerkennung der Flüchtlingseigenschaft gegen Art. 2 und 3 AsylG, Art. 1 des Abkommens vom 28. Juli 1951 über die Rechtsstellung der Flüchtlinge (FK, SR 0.142.30) und Art. 3 EMRK verstossen. Vorliegend stelle der Umstand ihrer illegalen Ausreise bereits einen Akt politischer Opposition dar, weshalb sie eine unverhältnismässig hohe Bestrafung durch das Regime befürchten müsse. Zudem sei in ihrem Fall mit überwiegender Wahrscheinlichkeit anzunehmen, dass sich ihre oppositionelle Einstellung im Fall einer Rückkehr in irgendeiner Weise manifestieren werde, spätestens im Fall einer Einberufung in den Nationaldienst. So würde sie sich der Dienstpflicht zu entziehen versuchen und sich so dem eritreischen Regime widersetzen. Folglich sei mit überwiegender Wahrscheinlichkeit eine begründete Furcht vor Verfolgung anzunehmen, dies umso mehr, als mit ihr nun drei Kinder ihrer Familie aus Eritrea geflohen seien und ihre Eltern deswegen inhaftiert worden seien.</w:t>
      </w:r>
    </w:p>
    <w:p>
      <w:r>
        <w:rPr>
          <w:b/>
        </w:rPr>
        <w:t>E. 5</w:t>
      </w:r>
    </w:p>
    <w:p>
      <w:r>
        <w:t>Die Beschwerdeführerin rügte auf Beschwerdeebene, die Vorgehensweise des SEM bei der Praxisänderung bezüglich der flüchtlingsrechtlichen Beurteilung der illegalen Ausreise aus Eritrea müsse als unzulässig erachtet werden. Das Bundesverwaltungsgericht hat sich in seiner Rechtsprechung (vgl. Urteil des BVGer D-632/2017 vom 23. Februar 2017 E. 5.3) mit dieser Frage auseinandergesetzt. Die vorgebrachten Einwendungen erweisen sich in diesem Zusammenhang als nicht stichhaltig. Die vom SEM eingeleitete Praxisänderung wurde mittels einer Medienkonferenz vom 23. Juni 2016 publik gemacht und mit dem Referenzurteil D-7898/2015 vom 30. Januar 2017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 Ebenfalls ist zu berücksichtigen, dass die Beschwerdeführerin wegen Unzumutbarkeit des Wegweisungsvollzugs in der Schweiz vorläufig aufgenommen wurde und sich allfällige zusätzliche Verfahrensschritte somit nicht begünstigend im Sinne einer Verlängerung des Bleiberechts der Beschwerdeführerin in der Schweiz auswirken würden. Mit anderen Worten entstünden ihr aufgrund eines diesbezüglichen Mangels keine nicht wiedergutzumachenden Nachteile.</w:t>
      </w:r>
    </w:p>
    <w:p>
      <w:r>
        <w:rPr>
          <w:b/>
        </w:rPr>
        <w:t>E. 6.1</w:t>
      </w:r>
    </w:p>
    <w:p>
      <w:r>
        <w:t>Nachfolgend ist zu prüfen, ob die Vorinstanz die Flüchtlingseigenschaft der Beschwerdeführerin zu Recht verneint hat. Diese räumt ein, dass keine Vorfluchtgründe bestünden. Sie behauptet indessen das Vorliegen von subjektiven Nachfluchtgründen.</w:t>
      </w:r>
    </w:p>
    <w:p>
      <w:r>
        <w:rPr>
          <w:b/>
        </w:rPr>
        <w:t>E. 6.2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2009/29).</w:t>
      </w:r>
    </w:p>
    <w:p>
      <w:r>
        <w:rPr>
          <w:b/>
        </w:rPr>
        <w:t>E. 6.3</w:t>
      </w:r>
    </w:p>
    <w:p>
      <w:r>
        <w:t>Vorliegend stellt sich demnach die Frage, ob die Beschwerdeführerin infolge der von ihr geltend gemachten illegalen Ausreise aus dem Heimatstaat bei einer Rückkehr nach Eritrea befürchten müsste, ernsthaften Nachteilen im Sinne von Art. 3 AsylG ausgesetzt zu werden.</w:t>
      </w:r>
    </w:p>
    <w:p>
      <w:r>
        <w:rPr>
          <w:b/>
        </w:rPr>
        <w:t>E. 6.4</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6.5</w:t>
      </w:r>
    </w:p>
    <w:p>
      <w:r>
        <w:t>Für den vorliegenden Fall ist festzustellen, dass die geltend gemachte illegale Ausreise gemäss den Ausführungen im erwähnten Referenzurteil für sich allein keine Furcht vor einer zukünftigen flüchtlingsrechtlich relevanten Verfolgung zu begründen vermag. Zusätzliche Anknüpfungspunkte im vorstehend erwähnten Sinn bestehen - auch in Berücksichtigung der Beschwerdeergänzung vom 14. Februar 2017 - keine. Die Beschwerdeführerin verliess Eritrea eigenen Angaben zufolge im Alter von (...) Jahren und hatte vor ihrer Ausreise keinerlei Kontakt mit den eritreischen Behörden betreffend einen allfälligen Einzug in den Nationaldienst (vgl. act. A22/18 S. 8). Auch ihre Befürchtung, eines Tages in den Militärdienst einberufen zu werden, vermag nicht aufzuzeigen, dass sie im Fokus der Militärbehörden steht, und erfüllt im Übrigen die nach Art. 3 AsylG erforderliche Intensität nicht (vgl. Entscheidungen und Mitteilungen der Schweizerischen Asylrekurskommission [EMARK] 2006 Nr. 3 E. 4.10). Zudem sind auch keine anderweitigen Faktoren ersichtlich, welche die Beschwerdeführerin in den Augen des eritreischen Regimes als missliebige Person erscheinen lassen könnten. Insbesondere ist nicht ersichtlich, weshalb sie heute im Falle der Rückkehr wegen ihres Vaters, der wegen wiederholter nicht bewilligter Verlängerung seines militärischen Urlaubs bestraft worden sei, zur Rechenschaft gezogen werden sollte. Das Gleiche hat auch für das Vorbringen, wonach ihre Mutter nach der Ausreise der ältesten Schwester (Nennung Dauer) in der Polizeistation in C._______ inhaftiert gewesen sei, zu gelten. So erwähnte die Beschwerdeführerin auch auf konkrete Nachfrage nach behördlichen Schwierigkeiten im Anschluss an die Flucht ihrer zweitältesten Schwester keine weiteren Probleme für ihre Mutter oder andere Angehörige ihrer Familie (vgl. act. A22/18 S. 3 f.).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w:t>
      </w:r>
    </w:p>
    <w:p>
      <w:r>
        <w:rPr>
          <w:b/>
        </w:rPr>
        <w:t>E. 6.6</w:t>
      </w:r>
    </w:p>
    <w:p>
      <w:r>
        <w:t>Aufgrund der vorstehenden Erwägungen ist insgesamt festzustellen, dass keine subjektiven Nachfluchtgründe bestehen und die Beschwerdeführerin die Flüchtlingseigenschaft nicht erfüllt, weshalb es sich erübrigt, auf die weiteren Vorbringen und Beweismittel näher einzugehen, da sie an obiger Erkenntnis nichts zu ändern vermögen.</w:t>
      </w:r>
    </w:p>
    <w:p>
      <w:r>
        <w:rPr>
          <w:b/>
        </w:rPr>
        <w:t>E. 7</w:t>
      </w:r>
    </w:p>
    <w:p>
      <w:r>
        <w:t>Nachdem das SEM in seiner Verfügung vom 7. September 2016 die vorläufige Aufnahme der Beschwerdeführerin in der Schweiz angeordnet hat, erübrigen sich praxisgemäss weitere Ausführungen zur Durchführbarkeit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der Beschwerdeführerin aufzuerlegen (Art. 63 Abs. 1 VwVG). Da das Gesuch um Gewährung der unentgeltlichen Prozessführung mit Zwischenverfügung vom 21. Oktober 2016 gutgeheissen wurde und den Akten keine Hinweise auf eine Veränderung ihrer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