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D-6091/2016 vom 29. November 2017</w:t>
      </w:r>
    </w:p>
    <w:p>
      <w:r>
        <w:t>Bundesverwaltungsgericht, 2017-11-29, DE</w:t>
      </w:r>
    </w:p>
    <w:p>
      <w:r>
        <w:rPr>
          <w:b/>
        </w:rPr>
        <w:t xml:space="preserve">Quelle: </w:t>
      </w:r>
      <w:r>
        <w:t>https://mcp.opencaselaw.ch/entscheid/bvger_D-6091_2016</w:t>
      </w:r>
    </w:p>
    <w:p>
      <w:r>
        <w:t>FR: TAF D-6091/2016 du 29 novembre 2017</w:t>
      </w:r>
    </w:p>
    <w:p>
      <w:r>
        <w:t>IT: TAF D-6091/2016 del 29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Der Prozessgegenstand im vorliegenden Verfahren ist entsprechend der gestellten Beschwerdeanträge auf die Frage beschränkt, ob die Beschwerdeführerin aufgrund ihrer illegalen Ausreise infolge subjektiver Nachfluchtgründe im Sinne von Art. 54 AsylG die Flüchtlingseigenschaft erfüllt. Demgegenüber sind die Abweisung des Asylgesuchs und die Anordnung der Wegweisung unangefochten in Rechtskraft erwachsen.</w:t>
      </w:r>
    </w:p>
    <w:p>
      <w:r>
        <w:rPr>
          <w:b/>
        </w:rPr>
        <w:t>E. 2</w:t>
      </w:r>
    </w:p>
    <w:p>
      <w:r>
        <w:t>Die Kognition des Bundesverwaltungsgerichts und die zulässigen Rügen richten sich im Asylbereich nach Art. 106 Abs. 1 AsylG (vgl. BVGE 2014/26 E. 5).</w:t>
      </w:r>
    </w:p>
    <w:p>
      <w:r>
        <w:rPr>
          <w:b/>
        </w:rPr>
        <w:t>E. 3</w:t>
      </w:r>
    </w:p>
    <w:p>
      <w:r>
        <w:t>In der Beschwerdeschrift werden verschiedene Verfahrensverletzungen geltend gemacht. Diese beziehen sich zunächst auf den Umstand, dass die Vorinstanz im Anschluss an das sogenannte beratende Vorgespräch (vgl. Art. 16 Abs. 3 der Testphasenverordnung vom 4. September 2013 [TestV, SR 142.318.1]) vom 12. Juni 2015 eine Notiz "Triage nationales Verfahren" erstellt hat (vgl. Akten SEM act. A14). Darin werden von der Beschwerdeführerin - im Rahmen des beratenden Vorgesprächs gemachte - Angaben zu ihren Asylgründen zusammengefasst aufgeführt. Die Beschwerdeführerin bemängelt, die Verwendung dieser, ihr nicht rückübersetzten, internen Akte bei der Glaubhaftigkeitsprüfung sei nicht rechtmässig. Ein solches Vorgehen begründe den Verdacht der Voreingenommenheit und es sei nicht ersichtlich, ob diese Notiz effektiv ihren Aussagen entspreche. Durch das vorinstanzliche Vorgehen sei der Grundsatz von Treu und Glauben nach Art. 9 BV verletzt. Zudem sei eine nicht korrekte Gesamtwürdigung aller relevanten Sachverhaltselemente vorgenommen worden. Auch der Anspruch auf ein faires Verfahren nach Art. 29 Abs. 1 BV sei verletzt worden, indem die Vorinstanz durch die Verwendung dieser nicht geeigneten Akte nicht mehr unvoreingenommen und unbefangen gewesen sei. Zudem müsse die Zusammenfassung des beratenden Gespräches der Beschwerdeseite nach Art. 5 Dublin-III-Verordnung zugänglich sein, die Asylgründe dürften nicht lediglich in einer internen Notiz festgehalten werden. Schliesslich werden im Zusammenhang mit der bemängelten ungenügenden Informationsgrundlage für die Praxisänderung des SEM ebenfalls Verfahrensverstösse geltend gemacht.</w:t>
      </w:r>
    </w:p>
    <w:p>
      <w:r>
        <w:rPr>
          <w:b/>
        </w:rPr>
        <w:t>E. 3.1</w:t>
      </w:r>
    </w:p>
    <w:p>
      <w:r>
        <w:t>Die verfahrensrechtlichen Rügen sind vorab zu prüfen, da sie allenfalls geeignet wären, eine Kassation der vorinstanzlichen Verfügung zu bewirken (vgl. BVGE 2016/2 E. 4.1; Regina Kiener/Bernhard Rütsche/Mathias Kuhn, Öffentliches Verfahrensrecht, Zürich/St. Gallen 2015, S. 72 f.).</w:t>
      </w:r>
    </w:p>
    <w:p>
      <w:r>
        <w:rPr>
          <w:b/>
        </w:rPr>
        <w:t>E. 3.2</w:t>
      </w:r>
    </w:p>
    <w:p>
      <w:r>
        <w:t>Art. 29 Abs. 1 BV garantiert den Anspruch auf gleiche und gerechte Behandlung sowohl in verwaltungsinternen als auch in gerichtlichen Verfahren (vgl.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 Aus Art. 29 Abs. 1 BV (Fairnessprinzip) und aus Art. 9 BV (Treu und Glauben) leiten sich sodann punktuell konkretisierte prozessuale Treuepflichten ab. Der Grundsatz von Treu und Glauben verleiht einer Person Anspruch auf Schutz des berechtigten Vertrauens, das er in behördliche Zusicherungen und sonstiges, bestimmte Erwartungen begründendes Verhalten der Behörden setzt (vgl. BGE 116 Ib 187).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Abfassung der Begründung soll dem Betroffenen ermöglichen, den Entscheid sachgerecht anfechten zu können, was nur der Fall ist, wenn sich sowohl der Betroffene als auch die Rechtsmittelinstanz über die Tragweite des Entscheides ein Bild machen können. Das im Anspruch auf rechtliches Gehör als Teilgehalt enthaltene Anhörungsrecht aus Art. 30 VwVG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Nach Art. 29 AsylG hat die asylsuchende Person im ordentlichen Asylverfahren das Recht, mindestens einmal mündlich zu den Asylgründen angehört zu werden. Über die Anhörung wird ein Protokoll geführt, das durch die asylsuchende Person nach der Rückübersetzung zu unterzeichnen ist.</w:t>
      </w:r>
    </w:p>
    <w:p>
      <w:r>
        <w:rPr>
          <w:b/>
        </w:rPr>
        <w:t>E. 3.3</w:t>
      </w:r>
    </w:p>
    <w:p>
      <w:r>
        <w:t>Vorliegend sind, entgegen der Auffassung der Beschwerdeseite, keine Verfahrensverstösse festzustellen.</w:t>
      </w:r>
    </w:p>
    <w:p>
      <w:r>
        <w:rPr>
          <w:b/>
        </w:rPr>
        <w:t>E. 3.3.1</w:t>
      </w:r>
    </w:p>
    <w:p>
      <w:r>
        <w:t>Anders als von der Beschwerdeseite behauptet, verletzte die Anfertigung einer internen Notiz zu den Asylgründen nach dem beratenden Vorgespräch Art. 5 Dublin-III-Verordnung nicht. Abgesehen davon, dass die angefochtene Verfügung nicht im Rahmen eines Dublin-Verfahrens erging, soll nach Art. 5 Dublin-III-VO der Asylsuchende oder der Rechtsvertreter eine schriftliche Zusammenfassung des persönlichen Gespräches erhalten, wobei sich dies nur auf das Verfahren zur Bestimmung des zuständigen Mitgliedstaats bezieht. Vorliegend hat das SEM ein zusammenfassendes, rückübersetztes Protokoll des beratenden Vorgespräches zum Reiseweg, zur Gesundheit und einer Zuständigkeit gemäss Dublin-Verordnung angefertigt, wobei dieses sowohl von der Beschwerdeführerin als auch von der damaligen Rechtsvertretung unterzeichnet worden ist (vgl. act. A13).</w:t>
      </w:r>
    </w:p>
    <w:p>
      <w:r>
        <w:rPr>
          <w:b/>
        </w:rPr>
        <w:t>E. 3.3.2</w:t>
      </w:r>
    </w:p>
    <w:p>
      <w:r>
        <w:t>Gemäss Art. 16 Abs. 3 TestV kann das SEM die Asylsuchenden während der Vorbereitungsphase zu ihrer Identität, zum Reiseweg und summarisch zu den Gründen befragen, warum sie ihr Land verlassen haben. Dass die Vorinstanz die Beschwerdeführerin zu ihren Ausreisegründen befragt hat, ist somit in der TestV explizit vorgesehen und damit nicht zu beanstanden, insbesondere liegt weder eine Voreingenommenheit noch eine Befangenheit vor. Dasselbe gilt für den Umstand, dass die Vorinstanz die Angaben der Beschwerdeführerin in einer Aktennotiz zusammengefasst hat.</w:t>
      </w:r>
    </w:p>
    <w:p>
      <w:r>
        <w:rPr>
          <w:b/>
        </w:rPr>
        <w:t>E. 3.3.3</w:t>
      </w:r>
    </w:p>
    <w:p>
      <w:r>
        <w:t>Zu prüfen bleibt, ob sich das SEM im Rahmen der Glaubhaftigkeitsprüfung in unzulässiger Weise auf seine Notiz abgestützt hat. Vorliegend wurde vom SEM in der angefochtenen Verfügung ausgeführt, dass die Beschwerdeführerin beim beratenden Vorgespräch im Testbetrieb ihr Asylgesuch anders begründet habe als in der Anhörung, wobei sich das SEM auf eine interne Akte beziehe, die es allerdings zur Glaubhaftigkeitsprüfung mangels Rückübersetzung und Unterschrift nicht als Grundlage heranziehen könne. Diese Formulierung des SEM ist allenfalls nicht ganz glücklich gewählt. Schliesslich darf das Vorgespräch nicht ohne weiteres die Funktion einer Erstbefragung übernehmen, ohne deren Verfahrensgarantien einzuhalten. Allerdings hat sich das SEM - was aus seinen anschliessenden Ausführungen in der angefochtenen Verfügung hervorgeht - bei der Glaubhaftigkeitsprüfung nicht auf aus der internen Notiz hervorgehende Widersprüche gestützt, sondern auf die protokollierte und rückübersetzte Aussage der Beschwerdeführerin in der Anhörung, weshalb sie während des beratenden Vorgespräches in Zürich andere Angaben gemacht habe (sie sei neu und verwirrt gewesen [vgl. act. A31, S. 21]). Diese (anlässlich der Anhörung gemachte) Erklärung hat das SEM als reine Schutzbehauptung bewertet und als zusätzliches Argument für die Unglaubhaftigkeit neben den als unsubstantiiert erachteten Aussagen zur Rekrutierung angeführt. Der Rückgriff in der Anhörung auf Aussagen in derselben zu bestimmten Angaben aus dem beratenden Vorgespräch ist als zulässig zu erachten, da die Aussagen der Anhörung protokolliert und rückübersetzt wurden. Zusammenfassend hat das SEM mit der Erstellung einer internen Akte zu den summarischen Asylvorbringen aus dem beratenden Vorgespräch weder gegen Art. 5 Dublin-III-VO verstossen, noch mit seiner Glaubhaftigkeitsprüfung unter Verweis auf die interne Akte Verfahrensgrundrechte aus Art. 29 Abs. 1 BV, Art. 9 BV oder den Anspruch auf rechtliches Gehör verletzt.</w:t>
      </w:r>
    </w:p>
    <w:p>
      <w:r>
        <w:rPr>
          <w:b/>
        </w:rPr>
        <w:t>E. 3.4</w:t>
      </w:r>
    </w:p>
    <w:p>
      <w:r>
        <w:t>Soweit die Beschwerdeführerin weiter geltend macht, die Praxisänderung durch das SEM sei aus formellen Gründen unzulässig, kann auf die nachfolgenden Erwägungen, insbesondere die dort erwähnten Urteile (Referenzurteil D-7898/2015 vom 30. Januar 2017 sowie Urteil des BVGer E-5296/2017 vom 17. Mai 2017 E. 7) verwiesen werden.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5.1</w:t>
      </w:r>
    </w:p>
    <w:p>
      <w:r>
        <w:t>Das SEM verneinte das Vorliegen der Flüchtlingseigenschaft mit dem Argument, die Beschwerdeführerin habe weder glaubhaft machen können, den Militärdienst verweigert zu haben, noch aus dem Nationaldienst desertiert zu sein. Es sei den Akten auch sonst nichts zu entnehmen, weshalb sie bei einer Rückkehr nach Eritrea ernsthafte Nachteile zu befürchten habe. Die Anforderungen an die Feststellung der Flüchtlingseigenschaft seien somit nicht erfüllt, die Vorbringen bezüglich der illegalen Ausreise asylrechtlich unbeachtlich.</w:t>
      </w:r>
    </w:p>
    <w:p>
      <w:r>
        <w:rPr>
          <w:b/>
        </w:rPr>
        <w:t>E. 5.2</w:t>
      </w:r>
    </w:p>
    <w:p>
      <w:r>
        <w:t>Dagegen brachte die Beschwerdeführerin vor, sie sei wegen ihrer glaubhaften illegalen Ausreise aus Eritrea bei ihrer Rückkehr gefährdet und als Flüchtling anzuerkennen, da anzunehmen sei, dass illegal aus Eritrea ausgereiste Personen vom Regime als Regimegegner erachtet würden und daher bei ihrer Rückkehr begründete Furcht hätten, ernsthaften Nachteilen im Sinne von Art. 3 AsylG ausgesetzt zu sein.</w:t>
      </w:r>
    </w:p>
    <w:p>
      <w:r>
        <w:rPr>
          <w:b/>
        </w:rPr>
        <w:t>E. 5.3</w:t>
      </w:r>
    </w:p>
    <w:p>
      <w:r>
        <w:t>Zur bisherigen Praxis des Bundesverwaltungsgerichts in Bezug auf Eritrea, namentlich auch die Praxis betreffend die illegale Ausreise aus diesem Land, wird auf das vom Richterplenum der Asylabteilungen koordinierte Urteil des Bundesveraltungsgerichts D-7898/2015 vom 30. Januar 2017 E. 4.1 ff. verwiesen (als Referenzurteil publiziert). Im besagten Urteil wurde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5.4</w:t>
      </w:r>
    </w:p>
    <w:p>
      <w:r>
        <w:t>In Anbetracht der geänderten Rechtsprechung (zur Vornahme einer Praxisänderung siehe auch Urteil des BVGer E-5296/2016 vom 17. Mai 2017 E. 7) kann die Glaubhaftigkeit der illegalen Ausreise der Beschwerdeführerin offengelassen werden, da entsprechende zusätzliche Faktoren, die das Profil der Beschwerdeführerin schärfen könnten, gestützt auf die konkreten Sachumstände zu verneinen sind. Nebenbei sei erwähnt, dass die Behauptung in der Beschwerde, die Vorinstanz habe die illegale Ausreise nicht in Frage gestellt, nicht zutreffend ist. Das SEM hat die Glaubhaftigkeit der illegalen Ausreise in der Verfügung offengelassen und in der Vernehmlassung betont, über Art und Zeitpunkt der Ausreise aus Eritrea könnten angesichts der unglaubhaften Angaben keine gesicherten Aussagen gemacht werden. Die Beschwerdeführerin hat nicht glaubhaft machen können, dass sie für die Rekrutierung und militärische Ausbildung in Sawa bereits konkret vorgesehen gewesen sei und sich durch ihre Flucht dem Aufgebot zum eritreischen Militär- beziehungsweise Nationaldienst entzogen hat. Es kann dazu auf die zutreffenden Ausführungen in der angefochtenen Verfügung verwiesen werden, welchen in der Beschwerdeschrift keine Argumente entgegengehalten werden. Insgesamt ist demnach nicht davon auszugehen, dass die Beschwerdeführerin in den Fokus der Militärbehörden geraten sein könnte. Auch das blosse Stellen eines Asylgesuchs im Ausland führt zu keiner entscheidrelevanten Schärfung des Risikoprofils (vgl. Urteil des BVGer D-1045/2016 vom 24. Mai 2016 E. 7.4).</w:t>
      </w:r>
    </w:p>
    <w:p>
      <w:r>
        <w:rPr>
          <w:b/>
        </w:rPr>
        <w:t>E. 5.5</w:t>
      </w:r>
    </w:p>
    <w:p>
      <w:r>
        <w:t>Somit bleibt festzuhalten, dass allein die vorgebrachte illegale Ausreise - im Falle ihrer Wahrunterstellung - vorliegend keine Furcht der Beschwerdeführerin vor einer zukünftigen flüchtlingsrechtlich relevanten Verfolgung zu begründen vermag, da in ihrer Person keine zusätzlichen Faktoren für ein Risikoprofil zu erkennen sind.</w:t>
      </w:r>
    </w:p>
    <w:p>
      <w:r>
        <w:rPr>
          <w:b/>
        </w:rPr>
        <w:t>E. 5.6</w:t>
      </w:r>
    </w:p>
    <w:p>
      <w:r>
        <w:t>Ebenfalls nicht flüchtlingsrechtlich relevant ist - wie im vorstehend genannten Referenzurteil erwähnt - die hypothetische Möglichkeit eines Einzugs in den Militär- beziehungsweise Nationaldienst nach einer allfälligen Rückkehr, da es sich dabei nicht um eine Massnahme handelt, die aus asylrechtlich relevanten Motiven erfolgt. Ob eine drohende Einziehung in den Militär- beziehungsweise Nationaldienst unter dem Aspekt von Art. 3 EMRK oder des Verbots der Sklaverei und der Zwangsarbeit gemäss Art. 4 EMRK relevant sein könnte, betrifft die Frage der Zulässigkeit beziehungsweise Zumutbarkeit des Wegweisungsvollzugs. Da die Beschwerdeführerin mit der angefochtenen Verfügung in der Schweiz vorläufig aufgenommen wurde, ist diese Frage nicht Gegenstand des vorliegenden Verfahrens.</w:t>
      </w:r>
    </w:p>
    <w:p>
      <w:r>
        <w:rPr>
          <w:b/>
        </w:rPr>
        <w:t>E. 5.7</w:t>
      </w:r>
    </w:p>
    <w:p>
      <w:r>
        <w:t>Die Vorinstanz hat mithin zutreffend die Flüchtlingseigenschaft der Beschwerdeführerin verneint.</w:t>
      </w:r>
    </w:p>
    <w:p>
      <w:r>
        <w:rPr>
          <w:b/>
        </w:rPr>
        <w:t>E. 6</w:t>
      </w:r>
    </w:p>
    <w:p>
      <w:r>
        <w:t>Aus diesen Erwägungen ergibt sich, dass die angefochtene Verfügung Bundesrecht nicht verletzt, den rechtserheblichen Sachverhalt richtig sowie vollständig feststellt (Art. 106 Abs. 1 AsylG). Die Beschwerde ist abzuweisen.</w:t>
      </w:r>
    </w:p>
    <w:p>
      <w:r>
        <w:rPr>
          <w:b/>
        </w:rPr>
        <w:t>E. 7.1</w:t>
      </w:r>
    </w:p>
    <w:p>
      <w:r>
        <w:t>Bei diesem Ausgang des Verfahrens wären die Verfahrenskosten der Beschwerdeführerin aufzuerlegen (Art. 63 Abs. 1 VwVG). Nachdem das Gesuch um unentgeltliche Rechtspflege im Sinne von Art. 65 Abs. 1 VwVG mit Verfügung 7. Oktober 2016 gutgeheissen wurde, sind keine Verfahrenskosten zu erheben.</w:t>
      </w:r>
    </w:p>
    <w:p>
      <w:r>
        <w:rPr>
          <w:b/>
        </w:rPr>
        <w:t>E. 7.2</w:t>
      </w:r>
    </w:p>
    <w:p>
      <w:r>
        <w:t>Vorliegend wurde mit gleicher Verfügung auch das Gesuch um Beiordnung der Rechtsvertreterin als amtliche Rechtsbeiständin gutgeheissen, weshalb MLaw Michèle Künzi ein amtliches Honorar zu entrichten ist. Die Rechtsvertreterin reichte vorliegend mit der Replik vom 15. Juni 2017 eine aktualisierte Kostennote ein, die einen Aufwand von siebeneinhalb Stunden bei einem Stundensatz von Fr. 180.- und einen Spesenaufwand von Fr. 50.- ausweist. Der geltend gemachte zeitliche Aufwand für die Replik erscheint überhöht und ist auf eine Stunde zu reduzieren, ebenso ist der Stundensatz unter Hinweis auf die Ausführungen in der Zwischenverfügung vom 7. Oktober 2016 zu reduzieren und auf Fr. 150.- festzulegen, womit sich ein Gesamtbetrag von Fr. 975.- statt der in Rechnung gestellten Fr. 1350.- ergibt. Mit der Mehrwertsteuer von Fr. 78.- ergibt dies einen Aufwand von Fr. 1053.-. Zusammen mit dem geltend gemachten Spesenaufwand von Fr. 50.- beträgt das vom Bundesverwaltungsgericht zu entrichtende amtliche Honorar somit Fr. 1103.-.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