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D-6089/2014 vom 10. November 2014</w:t>
      </w:r>
    </w:p>
    <w:p>
      <w:r>
        <w:t>Bundesverwaltungsgericht, 2014-11-10, DE</w:t>
      </w:r>
    </w:p>
    <w:p>
      <w:r>
        <w:rPr>
          <w:b/>
        </w:rPr>
        <w:t xml:space="preserve">Quelle: </w:t>
      </w:r>
      <w:r>
        <w:t>https://mcp.opencaselaw.ch/entscheid/bvger_D-6089_2014</w:t>
      </w:r>
    </w:p>
    <w:p>
      <w:r>
        <w:t>FR: TAF D-6089/2014 du 10 novembre 2014</w:t>
      </w:r>
    </w:p>
    <w:p>
      <w:r>
        <w:t>IT: TAF D-6089/2014 del 10 novembre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Aufgrund der Zuweisung des Beschwerdeführers in die Testphase des Verfahrenszentrums in Zürich kommt die TestV zur Anwendung (Art. 1 und Art. 4 Abs. 1 TestV).</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Ein Abgleich der Fingerabdrücke des Beschwerdeführers mit der Eurodac-Datenbank ergab, dass dieser am 7./8. August 2014 in Ungarn ein Asylgesuch eingereicht hatte. Das BFM ersuchte deshalb die ungarischen Behörden am 25. August 2014 und am 26. September 2014 um Wiederaufnahme des Beschwerdeführers gestützt auf die Bestimmungen der Dublin-III-VO. Die ungarischen Behörden stimmten dem Gesuch um Übernahme am 29. September 2014 zu. Die grundsätzliche Zuständigkeit Ungarns ist somit gegeben und wurde auf Beschwerdeebene im Übrigen auch nicht substanziiert bestritten.</w:t>
      </w:r>
    </w:p>
    <w:p>
      <w:r>
        <w:rPr>
          <w:b/>
        </w:rPr>
        <w:t>E. 4.2</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4.2.1</w:t>
      </w:r>
    </w:p>
    <w:p>
      <w:r>
        <w:t>Ungarn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4.2.2</w:t>
      </w:r>
    </w:p>
    <w:p>
      <w:r>
        <w:t>Ungarn hat sodann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wobei insbesondere der Verzicht auf eine quasi-systematische Inhaftierung von Asylsuchenden und die materielle Prüfung der Asylgesuche von allen Personen, welche im Rahmen des Dublin-Abkommens nach Ungarn überstellt werden (Dublin-Rückkehrer), hervorzuheben sind. Der Europäische Gerichtshof für Menschenrecht (EGMR) ist in einem Urteil vom 6. Juni 2013 aufgrund dieser Verbesserungen zum Schluss gekommen, asylsuchende Personen seien bei einer Überstellung nach Ungarn gestützt auf das Dublin-Abkommen nicht einer realen und individuellen Gefahr einer Art. 3 EMRK widersprechenden Behandlung ausgesetzt (vgl. EGMR, Mohammed gegen Österreich [Appl. No. 2283/12], Urteil vom 6. Juni 2013, § 106).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[http://helsinki.hu/en/information-note-on-asylum-seekers-in-detention-and-in-dublin-procedures-in-hungary]). Diese Gesetzesänderungen stellen aus der Sicht der ungarischen Regierung die Umsetzung der Neufassung der Richtlinie 2013/33/EU des Europäischen Parlaments und des Rates vom 26. Juni 2013 zur Festlegung von Normen für die Aufnahme von Personen, die internationalen Schutz beantragen, ins nationale Recht dar. Das UNHCR hat demgegenüber kritisiert, Ungarn habe die Neufassung der Aufnahmerichtlinie,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w:t>
      </w:r>
    </w:p>
    <w:p>
      <w:r>
        <w:rPr>
          <w:b/>
        </w:rPr>
        <w:t>E. 4.2.3</w:t>
      </w:r>
    </w:p>
    <w:p>
      <w:r>
        <w:t>Das Bundesverwaltungsgericht hat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 E-2093/2012 E. 4.2), bekräftigt (vgl. BVGE 2012/27, 2011/35 und 2010/45). Es hat mit Blick auf die vergangene und die derzeit herrschende Situation von Asylsuchenden in Ungarn das Vorhandensein systematischer Mängel verneint, jedoch kam es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(E-2093/2012 E. 9 ff.).</w:t>
      </w:r>
    </w:p>
    <w:p>
      <w:r>
        <w:rPr>
          <w:b/>
        </w:rPr>
        <w:t>E. 4.2.4</w:t>
      </w:r>
    </w:p>
    <w:p>
      <w:r>
        <w:t>Unter diesen Umständen ist die generelle Anwendung von Art. 3 Abs. 2 Dublin-III-VO nicht gerechtfertigt. Die weiterhin bestehende Kritik des UNHCR vermag daran nichts zu ändern.</w:t>
      </w:r>
    </w:p>
    <w:p>
      <w:r>
        <w:rPr>
          <w:b/>
        </w:rPr>
        <w:t>E. 4.3</w:t>
      </w:r>
    </w:p>
    <w:p>
      <w:r>
        <w:t>Der Beschwerdeführer ersucht auf Beschwerdeebene die Anwendung der Ermessensklausel von Art. 17 Abs. 1 Dublin-III-VO aufgrund seines Gesundheitszustandes, was zum Selbsteintritt der Schweiz und zur Beurteilung des Antrags auf internationalen Schutz durch dieses Land führen würde.</w:t>
      </w:r>
    </w:p>
    <w:p>
      <w:r>
        <w:rPr>
          <w:b/>
        </w:rPr>
        <w:t>E. 4.3.1</w:t>
      </w:r>
    </w:p>
    <w:p>
      <w:r>
        <w:t>Soweit der Beschwerdeführer schilderte, die ungarischen Behörden hätten ihm mit einer Rückschiebung gedroht (vgl. A 20/13 S. 9), hat er kein konkretes und ernsthaftes Risiko dargetan, die ungarischen Behörden würden sich weigern, ihn wieder aufzunehmen und seinen Antrag auf internationalen Schutz unter Einhaltung der Regeln der Verfahrensrichtlinie zu prüfen. Den Akten sind denn auch keine Gründe für die Annahme zu entnehmen,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Ungarn seien derart schlecht, dass sie zu einer Verletzung von Art. 4 der EU-Grundrechtecharta, Art. 3 EMRK oder Art. 3 FoK führen könnten. Der Beschwerdeführer hat auch keine konkreten Hinweise für die Annahme dargetan, Ungarn würde ihm dauerhaft die ihm gemäss Aufnahmerichtlinie zustehenden minimalen Lebensbedingungen vorenthalten. Bei einer allfälligen vorübergehenden Einschränkung könnte er sich im Übrigen nötigenfalls an die ungarischen Behörden wenden und die ihm zustehenden Aufnahmebedingungen auf dem Rechtsweg einfordern (vgl. Art. 26 Aufnahmerichtlinie).</w:t>
      </w:r>
    </w:p>
    <w:p>
      <w:r>
        <w:rPr>
          <w:b/>
        </w:rPr>
        <w:t>E. 4.3.2</w:t>
      </w:r>
    </w:p>
    <w:p>
      <w:r>
        <w:t>Der Beschwerdeführer beruft sich weiter darauf, sein Gesundheitszustand stehe einer Überstellung nach Ungarn entgegen; gemäss Bericht des KJPD B._______ vom 8. Oktober 2014 sowie dem vorläufigen Austrittsbericht des Sanatoriums C._______ vom 3. Oktober 2014 sei er als besonders verletzliche Person zu betrachten. Die Überstellung nach Ungarn setze ihn einer Gefahr für seine Gesundheit aus und verletze damit Art. 3 EMRK. Weiter macht er geltend, in Anbetracht seiner besonderen Verletzlichkeit und unter Berücksichtigung der problematischen Situation in Ungarn sei die von der Vorinstanz vorgenommene Einzelfallprüfung keinesfalls rechtsgenüglich und entspreche nicht der Praxis des Bundesverwaltungsgerichts. Der blosse Verweis auf das funktionierende Rechtssystem und die vermeintlich ausreichende medizinische Versorgung entspreche nicht einer inhaltlichen Beurteilung der Risiken einer Überstellung im Einzelfall.</w:t>
      </w:r>
    </w:p>
    <w:p>
      <w:r>
        <w:rPr>
          <w:b/>
        </w:rPr>
        <w:t>E. 4.3.2.1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4.3.2.2</w:t>
      </w:r>
    </w:p>
    <w:p>
      <w:r>
        <w:t>Gemäss den in den Akten liegenden medizinischen Unterlagen wurden beim Beschwerdeführer Anpassungsstörungen sowie eine Posttraumatische Belastungsstörung diagnostiziert (vgl. A 36/4 S. 2). Er wurde seit 26. August 2014 vom KJPD B._______ ein- bis zweimal wöchentlich psychiatrisch im Sinne einer Krisenintervention bei latenter Suizidalität und selbstverletzendem Verhalten begleitet. Nach dem stationären Aufenthalt des Beschwerdeführers im Sanatorium C._______ vom (...) 2014 bis (...) 2014 wird der Beschwerdeführer weiterhin mit zwei Terminen pro Woche begleitet. Im Bericht des KJPD wird weiter ausgeführt, der Beschwerdeführer habe nach eigenen Angaben bereits im Heimatland selbstschädigendes Verhalten gezeigt. Man empfehle für eine psychische Stabilisierung dringlich, dass er weiterhin im gleichen Rahmen engmaschig psychiatrisch betreut werde und eine Klärung schützender Sozialstrukturen (Beschwerdebeilage 2).</w:t>
      </w:r>
    </w:p>
    <w:p>
      <w:r>
        <w:rPr>
          <w:b/>
        </w:rPr>
        <w:t>E. 4.3.2.3</w:t>
      </w:r>
    </w:p>
    <w:p>
      <w:r>
        <w:t>Entgegen der Darstellung in der Beschwerdeschrift ist nicht ersichtlich, inwiefern das BFM zum Gesundheitszustand des Beschwerdeführers weitere Abklärungen hätte treffen müssen. Die diagnostizierten Beeinträchtigungen sind in der angefochtenen Verfügung aufgeführt und wurden berücksichtigt. Ebenso blieb vom BFM unbestritten, dass der Beschwerdeführer weiterhin medikamentöse sowie wohl therapeutische psychiatrische Behandlung benötigen wird. Damit bestand aber auch keine Veranlassung, das Asylgesuch des Beschwerdeführers dem Verfahren ausserhalb der Testphasen zuzuteilen (Art. 19 TestV).</w:t>
      </w:r>
    </w:p>
    <w:p>
      <w:r>
        <w:rPr>
          <w:b/>
        </w:rPr>
        <w:t>E. 4.3.2.4</w:t>
      </w:r>
    </w:p>
    <w:p>
      <w:r>
        <w:t>Das Bundesverwaltungsgericht geht sodann mit der Vorinstanz davon aus, dass Ungarn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 gewähren (Art. 19 Abs. 1 Aufnahmerichtlinie); den Antragstellern mit besonderen Bedürfnissen ist die erforderliche medizinische oder sonstige Hilfe (inkl. nötigenfalls psychologische Betreuung) zu gewähren (Art. 19 Abs. 2 Aufnahmerichtlinie). Es liegen weder Hinweise vor noch vermag der Beschwerdeführer plausibel darzulegen, dass ihm die ungarischen Behörden bislang medizinische Behandlung verweigert hätten oder in Zukunft verweigern würden, zumal sich der Beschwerdeführer nur kurze Zeit in Ungarn aufhielt. Festzuhalten ist überdies, dass die schweizerischen Behörden, die mit dem Vollzug der angefochten Verfügung beauftragt sind, nicht nur die ungarischen Behörden vorgängig in geeigneter Weise über allfällige spezifische medizinische Umstände informieren, sondern insbesondere auch seine gesundheitlichen Umständen respektive die Möglichkeit allfälliger suizidaler Handlungen bei der Überstellung selber gebührend berücksichtigen werden. Der Vollständigkeit halber ist im Weiteren anzumerken, dass das Bundesamt grundsätzlich über die Informationspflicht hinaus nicht gehalten ist, konkret abzuklären, wie und wo er in Ungarn untergebracht würde. Die im Anwendungsbereich der Dublin-II-VO in Art. 7 Abs. 3 der Verordnung (EG) Nr. 1560/2003 der Kommission vom 2. September 2003 (Durchführungsbestimmungen zur Dublin-II-VO) festgelegten Modalitäten der Überstellung wurden im Verlaufe der Neufassung der Dublin-II-VO erheblich ausgeweitet. In Art. 31 und 32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ausführlich geregelt, welche Informationen dem zuständigen Mitgliedstaat zu übermitteln sind. Diese eingehende Regelung dient dazu, den Schutz der Antragsteller zu stärken (vgl. Christian Filzwieser/Andrea Sprung, Dublin III-Verordnung, Wien/Graz 2014, K2 zu Art. 31). Diese Bestimmungen sehen indessen nicht vor, dass der überstellende Mitgliedstaat im zuständigen Staat weitergehende Abklärungen vornimmt, zumal davon auszugehen ist, dieser halte die Aufnahmerichtlinie ein (vgl. auch Urteil des Bundesverwaltungsgerichts D 2769/2014 vom 25. Juli 2014 E. 4.7). In Nachachtung der neusten Rechtsprechung des EGMR (Tarakhel vs. Schweiz [Beschwerde Nr. 29217/12] vom 4. November 2014) wird das BFM indessen in Anbetracht der gesundheitlichen Situation des Beschwerdeführers angewiesen, vorgängig der Überstellung von den ungarischen Behörden Zusicherungen hinsichtlich Unterkunft sowie Zugang zu medizinischer Versorgung einzuholen. Anzumerken ist weiter zur Gefahr einer psychischen Dekompensation beziehungsweise einer akut werdenden Suizidalität im Falle einer Ausschaffung respektive Überführung des Beschwerdeführers nach Ungarn, dass Art. 3 EMRK einen Konventionsstaat grundsätzlich nicht dazu verpflichtet, bei einer Konfrontation mit suizidalen Neigungen von einer zu vollziehenden Weg- oder Ausweisung Abstand zu nehmen. Dass ein unausweichlich bevorstehender Wegweisungsvollzug bei den damit konfrontierten ausländischen Personen zu einer nicht unerheblichen psychischen Belastung führt, ist nachvollziehbar. Vorliegend kann für die Zeit vor und während der Überstellung nach Ungarn einer allfälligen zeitweiligen Verschlechterung des psychischen Zustandes des Beschwerdeführers medikamentös und mit einer persönlichen Betreuung begegnet werden. Im konkreten Fall hat das BFM denn auch bereits im angefochtenen Entscheid festgehalten, dass die ungarischen Behörden im Hinblick auf die Überstellung rechtzeitig über das Krankheitsbild des Beschwerdeführers respektive seine besondere Schutzbedürftigkeit sowie über die notwendige medizinische Therapie informiert würden. Es ist davon auszugehen, dass die Vorinstanz bei der Organisation und Durchführung der Überstellung - abgesehen von den vorstehend erwähnten Zusicherungen - dem gesundheitlichen Zustand des Beschwerdeführers beim Vollzug der Wegweisung Rechnung tragen wird. Zudem konnte der Beschwerdeführer nicht nachweisen, dass er nicht reisefähig wäre oder eine Überstellung einen Verstoss gegen Art. 3 EMRK darstellen würde. Die gesundheitlichen Probleme sind in Berücksichtigung obiger Ausführungen nicht von einer derartigen Tragweite, dass aus humanitären Gründen von einer Überstellung nach Ungarn abgesehen werden müsste. Die durch das vorgelegte Gutachten festgestellte Beeinträchtigung seines psychischen Gesundheitszustandes inklusive der latenten Suizidalität vermag insgesamt weder eine Unzulässigkeit noch eine Unzumutbarkeit im Sinne der Rechtsprechung zu rechtfertigen.</w:t>
      </w:r>
    </w:p>
    <w:p>
      <w:r>
        <w:rPr>
          <w:b/>
        </w:rPr>
        <w:t>E. 4.3.3</w:t>
      </w:r>
    </w:p>
    <w:p>
      <w:r>
        <w:t>Nach dem Gesagten besteht kein konkretes und ernsthaftes Risiko, die Überstellung des Beschwerdeführers nach Ungarn würde gegen Art. 3 EMRK oder andere völkerrechtliche Verpflichtungen der Schweiz oder Landesrecht verstossen. Nebst der durch das Bundesamt beziehungsweise die Vollzugsbehörden vorzunehmende Information Ungarns und dem Einholen der entsprechenden Zusicherungen obliegt es ihm und es ist ihm nach Ansicht des Bundesverwaltungsgericht zuzumuten, seine spezifische Situation und allfällige persönliche Schwierigkeiten bei den zuständigen ungarischen Behörden vorzubringen und bei diesen durchzusetzen, respektive, sich bei Untätigkeit derselben im Bedarfsfall an die nächste Instanz zu wenden. Dies insbesondere unter Berücksichtigung, dass von einem volljährigen - und nicht wie im Bericht des KJPD von einem minderjährigen - Beschwerdeführer auszugehen ist. Somit besteht kein Grund für eine Anwendung der Ermessenklauseln von Art. 17 Dublin-III-VO. Der Vollständigkeit halber ist festzuhalten, dass die Dublin-III-VO den Schutzsuchenden kein Recht einräumt, den ihren Antrag prüfenden Staat selber auszuwählen (vgl. auch BVGE 2010/45 E. 8.3). Ungarn bleibt der für die Behandlung des Asylgesuches des Beschwerdeführers zuständige Mitgliedstaat gemäss Dublin-III-VO und ist verpflichtet, das Asylverfahren gemäss Art. 23, 24, 25 und 29 wiederaufzunehmen.</w:t>
      </w:r>
    </w:p>
    <w:p>
      <w:r>
        <w:rPr>
          <w:b/>
        </w:rPr>
        <w:t>E. 5</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BFM zu bestätigen.</w:t>
      </w:r>
    </w:p>
    <w:p>
      <w:r>
        <w:rPr>
          <w:b/>
        </w:rPr>
        <w:t>E. 8</w:t>
      </w:r>
    </w:p>
    <w:p>
      <w:r>
        <w:t>Das Beschwerdeverfahren ist mit vorliegendem Urteil abgeschlossen, weshalb sich der Antrag auf Gewährung der aufschiebenden Wirkung sowie auf Anordnung von vorsorglichen Massnahmen als gegenstandslos erweist.</w:t>
      </w:r>
    </w:p>
    <w:p>
      <w:r>
        <w:rPr>
          <w:b/>
        </w:rPr>
        <w:t>E. 9</w:t>
      </w:r>
    </w:p>
    <w:p>
      <w:r>
        <w:t>Mit vorliegendem Entscheid wird sodann das Gesuch um Verzicht auf die Erhebung eines Kostenvorschusses hinfällig.</w:t>
      </w:r>
    </w:p>
    <w:p>
      <w:r>
        <w:rPr>
          <w:b/>
        </w:rPr>
        <w:t>E. 10</w:t>
      </w:r>
    </w:p>
    <w:p>
      <w:r>
        <w:t>Bei diesem Ausgang des Verfahrens wären die Kosten grundsätzlich dem Beschwerdeführer aufzuerlegen (Art. 63 Abs. 1 VwVG). In Gutheissung des Gesuchs um Gewährung der unentgeltlichen Prozessführung - die gesetzlichen Voraussetzungen der Mittellosigkeit des Beschwerdeführers und der fehlenden Aussichtslosigkeit der Beschwerde sind erfüllt -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