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D-6084/2017 vom 16. Januar 2019</w:t>
      </w:r>
    </w:p>
    <w:p>
      <w:r>
        <w:t>Bundesverwaltungsgericht, 2019-01-16, DE</w:t>
      </w:r>
    </w:p>
    <w:p>
      <w:r>
        <w:rPr>
          <w:b/>
        </w:rPr>
        <w:t xml:space="preserve">Quelle: </w:t>
      </w:r>
      <w:r>
        <w:t>https://mcp.opencaselaw.ch/entscheid/bvger_D-6084_2017</w:t>
      </w:r>
    </w:p>
    <w:p>
      <w:r>
        <w:t>FR: TAF D-6084/2017 du 16 janvier 2019</w:t>
      </w:r>
    </w:p>
    <w:p>
      <w:r>
        <w:t>IT: TAF D-6084/2017 del 16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des Beschwerdeführers im Wesentlichen damit, dass die Verfolgungshandlungen der Asayish nicht genügend intensiv ausgefallen seien. Weder sei es zu Drohungen noch zu physischen Angriffen gekommen. Die geltend gemachte Hausdurchsuchung vom 15. August 2016 beziehungsweise die Suche am darauf folgenden Tag seien mangels Intensität nicht asylrelevant. Auch sei nicht ersichtlich, dass die Suche dem Beschwerdeführer gegolten habe und somit gezielt gewesen sei. Es lägen auch keine Indizien vor, dass er künftig asylrelevante Verfolgungsmassnahmen zu befürchten habe. Bei offensichtlich fehlender Asylrelevanz könne darauf verzichtet werden, auf allfällige Unglaubhaftigkeitselemente einzugehen. Da die Beschwerdeführenden in ihren Erstbefragungen die Suche nicht erwähnt hätten, sei bezüglich der Glaubhaftigkeit dieses Vorbringens aber ein Vorbehalt anzubringen. Die geltend gemachten Zwischenfälle aus den Jahren 2011 und 2012 betreffend das syrische Regime wiesen keinen in zeitlicher und sachlicher Hinsicht genügenden Kausalzusammenhang auf.</w:t>
      </w:r>
    </w:p>
    <w:p>
      <w:r>
        <w:rPr>
          <w:b/>
        </w:rPr>
        <w:t>E. 5.2</w:t>
      </w:r>
    </w:p>
    <w:p>
      <w:r>
        <w:t>Hiergegen wurde in der Beschwerde ausgeführt, vor dem Hintergrund der aktuellen Situation in Syrien komme den Vorbringen des Beschwerdeführers flüchtlingsrechtliche Relevanz zu. Es drohe ihm - wie seinen Parteikollegen - die Verhaftung sowie eine mehrmonatige oder jahrelange Haft. Am 15. August 2016 seien mehrere Mitglieder der PDK-S in E._______ vom Sicherheitsdienst der PYD verhaftet worden. Am selben Tag seinen in I._______ und in E._______ zudem mindestens neun Mitglieder der kurdischen Einheitspartei in Syrien von Asayish verhaftet worden. Die Verhafteten hätten - wie der Beschwerdeführer - an einem Trauerzug für einen getöteten Peschmerga teilgenommen. Zur Stützung seiner Angaben legte er einen Online-Bericht von Kurdwatch vom 21. August 2016 vor. Er habe sich der Verhaftung entziehen und bei Verwandten verstecken können. Dass der Sicherheitsdienst am selben Abend in seinem Haus eine Hausdurchsuchung durchgeführt habe, sei kein Zufall; vielmehr sei offensichtlich, dass die Asayish nach ihm gesucht hätten, nachdem bereits mehrere seiner Parteikollegen verhaftet worden seien. Im Weiteren drohten ihm bei Rückkehr Verfolgungsmassnahmen, unter anderem eine Reflexverfolgung wegen der Aktivitäten seiner Söhne.</w:t>
      </w:r>
    </w:p>
    <w:p>
      <w:r>
        <w:rPr>
          <w:b/>
        </w:rPr>
        <w:t>E. 5.3</w:t>
      </w:r>
    </w:p>
    <w:p>
      <w:r>
        <w:t>In ihrer Vernehmlassung hielt die Vorinstanz zu den vorgelegten Beweismitteln fest, soweit es sich um Auszüge aus dem Internet und Kopien handle, komme diesen keine grosse Beweiskraft zu. Auch würden die Mitgliedsbestätigungen der PDK-Organisation Schweiz und die Fotos der Beschwerdeführenden an einer Demonstration in Genf nicht darauf hinweisen, dass sie über ein politisches Profil verfügten, welches sie bei einer Rückkehr nach Syrien einer konkreten Gefährdung aussetzen könne.</w:t>
      </w:r>
    </w:p>
    <w:p>
      <w:r>
        <w:rPr>
          <w:b/>
        </w:rPr>
        <w:t>E. 5.4</w:t>
      </w:r>
    </w:p>
    <w:p>
      <w:r>
        <w:t>In der Replik hielt der Beschwerdeführer fest, dass es sich beim Internetauszug von Kurdwatch zu den Ereignissen vom 15. August 2016 um einen Bericht einer bekannten Online-Plattform handle, dem eine gewisse Beweiskraft zukomme. Zu den exilpolitischen Aktivitäten wurde auf die Rechtsprechung hingewiesen. Im Weiteren führte er an, dass er in Syrien bereits als Regimegegner bekannt sei und auch aufgrund seiner Verwandtschaft zu gesuchten Oppositionellen bei einer Sicherheitsprüfung mit einer Verfolgung zu rechnen hätte.</w:t>
      </w:r>
    </w:p>
    <w:p>
      <w:r>
        <w:rPr>
          <w:b/>
        </w:rPr>
        <w:t>E. 6.1</w:t>
      </w:r>
    </w:p>
    <w:p>
      <w:r>
        <w:t>Aufgrund der Beschwerdebegehren ist vorab zu prüfen, ob die Vorinstanz in ihrem Entscheid die politische Lage in Syrien genügend berücksichtigt hat. Zur Stützung der diesbezüglichen Rüge legte der Beschwerdeführer einen Online-Bericht der Organisation Kurdwatch als Beweismittel zu den Ereignissen vom 15. August 2016 vor.</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6.3</w:t>
      </w:r>
    </w:p>
    <w:p>
      <w:r>
        <w:t>Aus den öffentlich zugänglichen Quellen ergibt sich, dass die Situation in E._______ im Jahr 2016 von Spannungen zwischen den kurdischen Parteien geprägt war. Anfang März 2017 wurden die Hauptsitze zweier kurdischer Oppositionsparteien angegriffen und angezündet (vgl. Kurdistan 24 (...), abgerufen am 26.06.2018). Der Beschwerdeführer machte Festnahmen von politischen Gegnern der PYD und ein Verfolgungsrisiko für aktive Lokalpolitiker geltend. In der vorinstanzlichen Verfügung wird unter Hinweis auf das Anhörungsprotokoll (A45 F44) festgehalten, der Beschwerdeführer habe vorgebracht, dass vor allem Kadermitglieder gefährdet gewesen seien. Der Beschwerdeführer hat aber ausdrücklich geltend gemacht, dass auch Mitglieder, die sich - so wie er - in lokalen Komitees engagierten, verhaftet worden seien (vgl. A 45 F44): "An jenem Tag kamen viele Personen ins Gefängnis. Darunter waren N., M. und H. Sie waren Mitglieder des kurdischen Nationalrates. An jenem Tag kamen noch andere Personen ins Gefängnis, sie waren Sektions- oder Lokalkomiteemitglieder". Im weiteren Verlauf der Anhörung vergewisserte sich die Vorinstanz in dieser Hinsicht sogar noch einmal: "F68: Es wurden also nicht nur Kader Ihrer Partei festgenommen an diesem Tag?", was der Beschwerdeführer ausdrücklich verneinte, wobei er nochmals anführte, es seien einfache Mitglieder des Lokalkomitees festgenommen worden. Auf Beschwerdeebene legte er sodann einen öffentlich zugänglichen Bericht vor, wonach im Zusammenhang mit der Organisation eines Leichenzuges nicht nur Kadermitglieder der Oppositionsparteien sondern Sektionsmitglieder - wie er - von Asayish verhaftet worden seien (vgl. Bericht Kurdwatch vom 21. August 2016, Beschwerdebeilage 5). Die Vorinstanz wäre gehalten gewesen, die Ereignisse in Syrien im Zusammenhang mit den vom Beschwerdeführer geltend gemachten Aktivitäten für sein Sektionskomitee - unter anderem seine vorgebrachte Mitwirkung an der Organisation des Leichenzugs für einen gefallenen Peschmerga - als allfälligen Fluchtgrund zu prüfen und dies in die Entscheidbegründung einfliessen zu lassen. Der Beschwerdeführer hat die angespannte politische Lage in seinem Gesuch ausdrücklich geltend gemacht.</w:t>
      </w:r>
    </w:p>
    <w:p>
      <w:r>
        <w:rPr>
          <w:b/>
        </w:rPr>
        <w:t>E. 6.4</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kann offen gelassen werden, ob es sich bei der unzureichenden Beachtung von Vorbringen und Länderinformationen um einen schweren Mangel handelt, da die Vorinstanz - nachdem der Beschwerdeführer in seiner Beschwerde eine unzureichende Auseinandersetzung mit der geltend gemachten Gefährdungslage aufgrund seines politischen Profils gerügt und diese mit der fehlenden Auseinandersetzung der Vorinstanz mit den politischen Spannungen unter der Vorlage eines Beweismittels begründet hatte - auch in ihrer Vernehmlassung auf diese Vorbringen in keiner Weise einging. Eine Heilung der Gehörsverletzung durch die Vorinstanz auf Beschwerdeebene versäumte jene. Durch eine Rückweisung der Sache an die Vorinstanz bleibt ausserdem der Instanzenzug gewahrt, was umso wichtiger erscheint, als das Bundesverwaltungsgericht einzige Beschwerdeinstanz gegen Verfügungen des SEM im Asylbereich ist.</w:t>
      </w:r>
    </w:p>
    <w:p>
      <w:r>
        <w:rPr>
          <w:b/>
        </w:rPr>
        <w:t>E. 6.5</w:t>
      </w:r>
    </w:p>
    <w:p>
      <w:r>
        <w:t>Bei dieser Sachlage erübrigt es sich, auf die übrigen Beschwerdevorbringen einzugehen. Insofern das SEM die Aussagen zur Hausdurchsuchung beziehungsweise zur Suche nach dem Beschwerdeführer als nachgeschoben bewertete, kann auf eine Auseinandersetzung mit den in der Beschwerdeschrift vorgebrachten Gegenargumenten verzichtet werden, da es im Lichte der Begründungspflicht und derjenigen zur vollständigen Abklärung des rechtserheblichen Sachverhaltes nicht genügen kann, mit einem einzigen Argument die Unglaubhaftigkeit zu begründen, ohne die übrigen Elemente des Sachverhaltsvortrags - etwa die Schilderung der Situation durch die Ehefrau - entsprechend abzuwägen.</w:t>
      </w:r>
    </w:p>
    <w:p>
      <w:r>
        <w:rPr>
          <w:b/>
        </w:rPr>
        <w:t>E. 7</w:t>
      </w:r>
    </w:p>
    <w:p>
      <w:r>
        <w:t>Die Beschwerde ist nach dem Gesagten gutzuheissen, die angefochtene Verfügung aus formellen Gründen aufzuheben und die Sache in Anwendung von Art. 61 Abs. 1 VwVG an die Vorinstanz zurückzuweisen. Diese ist anzuweisen, sich zur Gefährdungssituation von Sektions- und Lokalkomiteemitgliedern und den in diesem Zusammenhang vorgebrachten Argumenten des Beschwerdeführers zu äussern und über die Sache neu zu befinden. Bei dieser Gelegenheit wird sie auch aufgefordert, das vom Beschwerdeführer mit Eingabe vom 7. Juni 2018 neu vorgelegte Beweismittel der PDK-S, Sektion (...) zu würdigen.</w:t>
      </w:r>
    </w:p>
    <w:p>
      <w:r>
        <w:rPr>
          <w:b/>
        </w:rPr>
        <w:t>E. 8.1</w:t>
      </w:r>
    </w:p>
    <w:p>
      <w:r>
        <w:t>Bei diesem Ausgang des Verfahrens sind keine Kosten zu erheben (Art. 63 Abs. 3 VwVG).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Beschwerdeführenden reichten mit Eingabe vom 5. Dezember 2017 eine Kostennote ein. Der geltend gemachte Aufwand von insgesamt 10.75 Stunden bei einem Stundenansatz von Fr. 300.- für die anwaltliche Vertretung und die Barauslagen von Fr. 21.90 erscheinen angemessen. Den Beschwerdeführenden ist zulasten des SEM eine Parteientschädigung von insgesamt Fr. 3'506.65 (inkl.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