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D-6077/2014 vom 10. November 2016</w:t>
      </w:r>
    </w:p>
    <w:p>
      <w:r>
        <w:t>Bundesverwaltungsgericht, 2016-11-10, DE</w:t>
      </w:r>
    </w:p>
    <w:p>
      <w:r>
        <w:rPr>
          <w:b/>
        </w:rPr>
        <w:t xml:space="preserve">Quelle: </w:t>
      </w:r>
      <w:r>
        <w:t>https://mcp.opencaselaw.ch/entscheid/bvger_D-6077_2014</w:t>
      </w:r>
    </w:p>
    <w:p>
      <w:r>
        <w:t>FR: TAF D-6077/2014 du 10 novembre 2016</w:t>
      </w:r>
    </w:p>
    <w:p>
      <w:r>
        <w:t>IT: TAF D-6077/2014 del 10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respektive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aus einem der vom Gesetz aufgezählten Verfolgungsmotive zugefügt worden sind beziehungsweise zugefügt zu werden drohen (vgl. BVGE 2008/4 E. 5). Eine bloss entfernte Möglichkeit künftiger Verfolgung genügt nicht, vielmehr müssen konkrete Indizien die Furcht vor erwarteten Benachteiligungen realistisch und nachvollziehbar erscheinen lassen (vgl. BVGE 2010/57 E. 2.5, 2010/44 E.3.4).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 2010/57 E. 2.3).</w:t>
      </w:r>
    </w:p>
    <w:p>
      <w:r>
        <w:rPr>
          <w:b/>
        </w:rPr>
        <w:t>E. 4.1</w:t>
      </w:r>
    </w:p>
    <w:p>
      <w:r>
        <w:t>Die Vorinstanz erachtete die Fluchtvorbringen des Beschwerdeführers, wonach er im März 2012 von Unbekannten aufgefordert worden sei, sich ihrer Gruppierung anzuschliessen, was er abgelehnt habe, weswegen er einen Monat lang eingeschüchtert worden sei und weiterhin gesucht werde, als den Anforderungen an die Glaubhaftigkeit gemäss Art. 7 AsylG nicht genügend. Dieser Einschätzung ist im Ergebnis beizupflichten.</w:t>
      </w:r>
    </w:p>
    <w:p>
      <w:r>
        <w:rPr>
          <w:b/>
        </w:rPr>
        <w:t>E. 4.2</w:t>
      </w:r>
    </w:p>
    <w:p>
      <w:r>
        <w:t>Eine Überprüfung der Akten ergibt, dass die Ausführungen des Beschwerdeführers zu den fluchtauslösenden Ereignissen nicht zu überzeugen vermögen. Seine diesbezüglichen Schilderungen vermitteln kein stimmiges Bild. Auf Beschwerdeebene vermag der Beschwerdeführer den von der Vorinstanz zutreffend aufgezeigten Unstimmigkeiten nichts Substanzielles entgegenzusetzen und die Zweifel an der Glaubhaftigkeit seiner Ausführungen nicht auszuräumen. So kann der in der Beschwerdeeingabe vom 17. Oktober 2014 geäusserten Auffassung, es sei angesichts seines jugendlichen Alters und des Zeitablaufs verständlich, dass er bei der ergänzenden Anhörung vergessen habe zu erwähnen, dass er Fotos mit verstorbenen Menschen habe aufhängen müssen, nicht gefolgt werden. Weder das Alter des Beschwerdeführers noch der Zeitablauf vermögen das Vergessen eines so wesentlichen Sachverhaltselements zu erklären. Der Beschwerdeführer wurde bei der ergänzenden Anhörung vom 13. August 2014 wiederholt explizit nach konkreten Aktivitäten gefragt. Trotz dieses Impulses gab er abweichend von den bisherigen Ausführungen an, er sei - abgesehen vom Gruppenbeitritt - zu keinerlei konkreten Taten aufgefordert worden, habe nie etwas für diese Personen gemacht und sich auch nicht vorstellen können, was von ihm bei einem Gruppenbeitritt verlangt werden könnte (vgl. A16 S. 6 F54-57, S. 8 F84). Auf Vorhalt der zuvor geltend gemachten Plakataktion verstrickte er sich zugleich in einen neuerlichen Widerspruch, indem er nun zu Protokoll gab, er habe die Fotos zwar aufgehängt, aber nicht bei der ersten Begegnung (vgl. A16 S. 11 F115). Es dürfte indes nicht nur erwartet werden, dass er sich an die besagte Aktion zu erinnern vermöchte, sondern auch, dass er sie widerspruchsfrei wiedergeben kann, zumal er sie unter Zwang ausgeführt habe, so dass sie sich gut im Gedächtnis eingeprägt haben dürfte. Sein Einwand in der Beschwerdeeingabe vom 17. Oktober 2014, die Aktion sei für ihn nur eine von vielen Schikanen gewesen, vermag nicht zu überzeugen, habe es sich dabei doch um die einzige Aktivität gehandelt, die er ausgeführt habe, so dass eine widerspruchsfreie Schilderung erwartet werden dürfte. Obwohl der Beschwerdeführer während eines Monats fast täglich angehalten worden sei, vermochte er zur Identität der Verfolger und deren Gruppierung keinerlei Angaben zu machen. Seine diesbezüglichen Ausführungen blieben gänzlich substanzlos. Es erscheint jedoch unrealistisch, dass er bei den unzähligen Treffen nie etwas über die betreffende Gruppierung und deren Aktivitäten erfahren habe, wenn er doch zu einer Mitgliedschaft hätte überredet werden sollen. Zudem wäre anzunehmen, dass von Seiten der Eltern oder des Dorfvorstehers eine Vermutung, wer hinter den Vorfällen stecken könnte, geäussert worden wäre. Aber auch nach den geltend gemachten Hausbesuchen vom 3. September 2013 und im Mai 2014 antwortete der Beschwerdeführer bei der ergänzenden Anhörung vom 13. August 2014 auf die Frage, ob er eine Vermutung habe, welcher Organisation die unbekannten Verfolger angehört haben könnten, mit "keine Ahnung" (vgl. A16 S. 8 F79 und F81). Die auf Beschwerdeebene erstmals geäusserte Vermutung, es habe sich wohl um Anhänger der regierungsfreundlichen EPDP gehandelt, da bekannt sei, dass diese immer nach neuen Mitgliedern suche, ist somit eine reine Mutmassung. Im Übrigen stellte der Beschwerdeführer diese Vermutung wiederum selbst in Frage, gab er gegenüber dem Psychologen, den er in der Schweiz aufsuchte, doch an, er sei von mutmasslichen LTTE-Anhängern - und nicht von regierungsfreundlichen EPDP-Mitgliedern - verfolgt worden (vgl. eingereichtes Schreiben vom 1. Juli 2015). Damit bleiben seine Vorbringen zur Identität und Gruppierung der angeblichen Verfolger unsubstanziiert. Schliesslich vermag auch der Einwand des Beschwerdeführers in der Rechtsmitteleingabe vom 17. Oktober 2014, die widersprüchlichen Angaben zu den Hausbesuchen und dem Gespräch mit dem Dorfvorsteher würden auf Missverständnissen beruhen, nicht zu überzeugen. Im Anhörungsprotokoll vom 13. August 2014 finden sich keine Anhaltspunkte für die Annahme, es sei bei der ergänzenden Anhörung zu entsprechenden Missverständnissen gekommen. Die diesbezüglich an den Beschwerdeführer gerichteten Fragen waren klar formuliert (vgl. A16 S. 9 F86, S. 10 F102-105) und er hat den Dolmetscher laut seinen Angaben gut verstanden (vgl. A16 S. 1 F1). Nach der Rückübersetzung hat er die Richtigkeit seiner Aussagen unterschriftlich bestätigt (vgl. A16 S. 15) und auch die Hilfswerksvertretung hat keine Bemerkungen angebracht, welche auf Verständigungsschwierigkeiten hindeuten würden (vgl. A16 S. 16). Damit bleiben die nicht übereinstimmend geschilderten Hausbesuche und die widersprüchlichen Angaben zum Aufsuchen des Dorfvorstehers unerklärlich. Die Angabe des Beschwerdeführers bei der ergänzenden Anhörung, seine Eltern hätten die Verfolger vor seiner Ausreise nie gesehen (vgl. A16 S. 8 F83), steht in klarem Widerspruch zur vorhergehenden Aussage, sein Vater sei von den Verfolgern zu Hause aufgesucht worden, als er im Spital in D._______ gewesen sei (vgl. A5 S. 7, A8 S. 5 F29). Diesen erheblichen Widerspruch kann der Beschwerdeführer mit den Ausführungen in den Rechtsmitteleingaben nicht auflösen. Im Übrigen vermag er nicht darzulegen, weshalb die "Gruppierung" anfangs September 2013 plötzlich wieder ein Interesse an ihm gehabt haben sollte, wenn sie ihn während der fast eineinhalb Jahre zuvor nie (mehr) gesucht habe. Angesichts der widersprüchlichen, unsubstanziierten und unrealistischen Schilderungen kann dem Beschwerdeführer nicht geglaubt werden, dass er bis zum heutigen Zeitpunkt wegen der Nichtbefolgung einer im März 2012 von unbekannten Personen ausgesprochenen Aufforderung, sich einer - nicht spezifizierten - Gruppierung anzuschliessen, gesucht werde. Den undatierten Brief der Mutter hat das BFM zutreffend als Gefälligkeitsschreiben qualifiziert. Das auf Beschwerdeebene eingereichte Schreiben der "(...)" in D._______ vom 1. September 2014 vermag - ungeachtet der Frage der Echtheit dieses Dokuments, das im Formularkopf mehrere Schreibfehler aufweist (vgl. "[...]", "[...]") - die Verfolgungsvorbringen des Beschwerdeführers ebenfalls nicht zu belegen, gibt es diese doch lediglich noch einmal wieder, wie der Verfasser sie von der Mutter des Beschwerdeführers vernommen habe. Im Übrigen stimmt die darin enthaltene Angabe, der Beschwerdeführer sei auf dem Schulweg von bewaffneten Jugendlichen ("armed youths") bedroht worden, nicht mit den Ausführungen des Beschwerdeführers selbst überein, hatte er doch zu Protokoll gegeben, keine Waffen bei den betreffenden Personen gesehen zu haben (vgl. A16 S. 13 F141).</w:t>
      </w:r>
    </w:p>
    <w:p>
      <w:r>
        <w:rPr>
          <w:b/>
        </w:rPr>
        <w:t>E. 4.3</w:t>
      </w:r>
    </w:p>
    <w:p>
      <w:r>
        <w:t>Es ist auch nicht davon auszugehen, dass der Beschwerdeführer im Falle seiner Rückkehr nach Sri Lanka aus anderen Gründen flüchtlingsrechtlich relevante Verfolgungsmassnahmen zu befürchten hätte. Mit den allgemeinen Ausführungen in den Rechtsmitteleingaben zur Lage der tamilischen Bevölkerung in Sri Lanka nach dem Ende des Bürgerkriegs vermag der Beschwerdeführer keine begründete Furcht vor asylrechtlich relevanter Verfolgung seiner Person darzulegen.</w:t>
      </w:r>
    </w:p>
    <w:p>
      <w:r>
        <w:rPr>
          <w:b/>
        </w:rPr>
        <w:t>E. 4.3.1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4.3.2</w:t>
      </w:r>
    </w:p>
    <w:p>
      <w:r>
        <w:t>Aufgrund der Aktenlage ist nicht davon auszugehen, dass der Beschwerdeführer, der seinen Angaben zufolge vor der Ausreise aus Sri Lanka keine Probleme mit den heimatlichen Behörden gehabt habe (vgl. A16 S. 11 F111) und nie inhaftiert gewesen sei (vgl. A5 S. 7), einer Risikogruppe angehört. Es besteht kein Anlass zur Annahme, er wäre ins Visier der sri-lankischen Behörden geraten. Auch lässt er kein Profil erkennen, welches für ein potentielles Verfolgungsinteresse seitens der heimatlichen Behörden sprechen könnte. Allein die Verwandtschaft mit einer (Verwandten), die vor der Geburt des Beschwerdeführers bei den LTTE gewesen und im Jahr (...), als der Beschwerdeführer erst (...)jährig war, gestorben sei, lässt nicht auf ein Profil schliessen, das den Beschwerdeführer angesichts der heutigen Situation in Sri Lanka als in asylrechtlich relevanter Weise gefährdete Person erscheinen lassen würde, zumal weder er noch seine Eltern und Geschwister sich je politisch betätigt hätten.</w:t>
      </w:r>
    </w:p>
    <w:p>
      <w:r>
        <w:rPr>
          <w:b/>
        </w:rPr>
        <w:t>E. 4.4</w:t>
      </w:r>
    </w:p>
    <w:p>
      <w:r>
        <w:t>Dem Beschwerdeführer ist es aufgrund des Gesagten nicht gelungen, die Flüchtlingseigenschaft gemäss Art. 3 AsylG nachzuweisen oder zumindest glaubhaft zu machen. Die Vorinstanz hat damit das Asylgesuch zu Recht abgelehnt.</w:t>
      </w:r>
    </w:p>
    <w:p>
      <w:r>
        <w:rPr>
          <w:b/>
        </w:rPr>
        <w:t>E. 5.1</w:t>
      </w:r>
    </w:p>
    <w:p>
      <w:r>
        <w:t>Lehnt das BFM respektive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BFM respektive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unter Verweis auf die vorstehenden Ausführungen im Asylpunkt nicht gelungen. Er gehört keiner in Bezug auf die Flüchtlingseigenschaft relevanten Risikogruppe an, weshalb nicht davon auszugehen ist, ihm drohe im Rahmen der routinemässigen Überprüfung bei der Rückkehr eine unmenschliche Behandlung. Auch die allgemeine Menschenrechtssituation in Sri Lanka lässt den Wegweisungsvollzug zum heutigen Zeitpunkt nicht als unzulässig erscheinen (vgl. Referenzurteil E-1866/2015 vom 15. Juli 2016 E. 12.2).</w:t>
      </w:r>
    </w:p>
    <w:p>
      <w:r>
        <w:rPr>
          <w:b/>
        </w:rPr>
        <w:t>E. 6.2.3</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Der bewaffnete Konflikt zwischen der sri-lankischen Regierung und den LTTE ist im Mai 2009 zu Ende gegangen. Im heutigen Zeitpunkt herrscht in Sri Lanka weder Krieg noch eine Situation allgemeiner Gewalt (vgl. BVGE 2011/24 E. 13.2.1). Das Bundesverwaltungsgericht nahm im Referenzurteil E-1866/2015 vom 15. Juli 2016 eine aktuelle Lagebeurteilung vor (vgl. dort E. 13.2-13.4). Demzufolge ist für Personen, die aus der Nordprovinz stammen und diese erst nach Beendigung des Bürgerkriegs im Mai 2009 verlassen haben, der Wegweisungsvollzug in dieses Gebiet in Fortführung der Praxis von BVGE 2011/24 als grundsätzlich zumutbar zu beurteilen, wenn davon ausgegangen werden kann, dass sie auf die gleiche oder eine gleichwertige Lebens- und Wohnsituation zurückgreifen können, die im Zeitpunkt der Ausreise geherrscht hat.</w:t>
      </w:r>
    </w:p>
    <w:p>
      <w:r>
        <w:rPr>
          <w:b/>
        </w:rPr>
        <w:t>E. 6.3.2</w:t>
      </w:r>
    </w:p>
    <w:p>
      <w:r>
        <w:t>Der Beschwerdeführer stammt aus C._______ im Distrikt D._______ (Nordprovinz). Er hat dort seinen Angaben zufolge bis zu seiner Ausreise im April 2012 mit den Eltern und Geschwistern zusammengelebt und in D._______ die Schule besucht. Der Beschwerdeführer verfügt damit in der Nordprovinz über ein tragfähiges Beziehungsnetz und es ist davon auszugehen, dass er im Falle seiner Rückkehr im Wesentlichen dieselbe Wohn- und Lebenssituation wie vor der Ausreise antreffen wird. Im Übrigen darf von dem jungen, ledigen und über schulische Bildung verfügenden Beschwerdeführer, der in der Schweiz Arbeitserfahrung als (...) erwerben konnte (vgl. A16 S. 13 F135 f.), auf längere Sicht auch erwartet werden, dass er sich in wirtschaftlicher Hinsicht wird eingliedern können. Die auf Beschwerdeebene geltend gemachten gesundheitlichen Probleme ([...] [vgl. ärztliches Schreiben vom 1. Juli 2015]) stellen keine Vollzugshindernisse dar und lassen sich bei Bedarf auch im Heimatland des Beschwerdeführers behandeln. Es liegen somit keine Gründe für die Annahme vor, der Beschwerdeführer würde bei einer Rückkehr nach Sri Lanka in eine existenzielle Notlage geraten, die als konkrete Gefährdung zu werten wäre.</w:t>
      </w:r>
    </w:p>
    <w:p>
      <w:r>
        <w:rPr>
          <w:b/>
        </w:rPr>
        <w:t>E. 6.3.3</w:t>
      </w:r>
    </w:p>
    <w:p>
      <w:r>
        <w:t>Der Vollzug der Wegweisung ist daher auch zumutbar.</w:t>
      </w:r>
    </w:p>
    <w:p>
      <w:r>
        <w:rPr>
          <w:b/>
        </w:rPr>
        <w:t>E. 6.4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grundsätzlich dem Beschwerdeführer aufzuerlegen (Art. 63 Abs. 1 VwVG). Da ihm jedoch mit Zwischenverfügung vom 12. November 2014 die unentgeltliche Prozessführung gemäss Art. 65 Abs. 1 VwVG gewährt wurde und weiterhin von seiner prozessualen Bedürftigkeit auszugehen ist, ist von der Kostenerhebung abzusehen.</w:t>
      </w:r>
    </w:p>
    <w:p>
      <w:r>
        <w:rPr>
          <w:b/>
        </w:rPr>
        <w:t>E. 8.2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Die Rechtsvertreterin reichte mit der Beschwerdeeingabe vom 17. Oktober 2014 eine Kostennote ein. Die aufgeführte Dossiereröffnungspauschale von Fr. 50.- ist praxisgemäss nicht zu vergüten. Auch im Übrigen erscheint der geltend gemachte Aufwand nicht vollumfänglich als angemessen. Für den seither angefallenen Aufwand wurde keine Kostennote eingereicht. Auf die Nachforderung einer solchen wird verzichtet, da sich der Aufwand für die Schriftenwechsel zuverlässig abschätzen lässt (Art. 14 Abs. 2 VGKE). Unter Berücksichtigung der in Betracht zu ziehenden Berechnungsfaktoren (Art. 9-13 VGKE) ist das amtliche Honorar auf insgesamt Fr. 2000.-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