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D-6076/2013 vom 28. November 2013</w:t>
      </w:r>
    </w:p>
    <w:p>
      <w:r>
        <w:t>Bundesverwaltungsgericht, 2013-11-28, DE</w:t>
      </w:r>
    </w:p>
    <w:p>
      <w:r>
        <w:rPr>
          <w:b/>
        </w:rPr>
        <w:t xml:space="preserve">Quelle: </w:t>
      </w:r>
      <w:r>
        <w:t>https://mcp.opencaselaw.ch/entscheid/bvger_D-6076_2013</w:t>
      </w:r>
    </w:p>
    <w:p>
      <w:r>
        <w:t>FR: TAF D-6076/2013 du 28 novembre 2013</w:t>
      </w:r>
    </w:p>
    <w:p>
      <w:r>
        <w:t>IT: TAF D-6076/2013 del 28 novembre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Vorliegend ist das genaue Eröffnungsdatum der angefochtenen Verfügung nicht bekannt. Aus den Akten ergibt sich lediglich, dass diese mit Schreiben der Botschaft vom 20. September 2013 an die Beschwerdeführerin weitergeleitet wurde. Zu Gunsten der Beschwerdeführerin ist davon auszugehen, dass die am 28. Oktober 2013 beim Bundesveraltungsgericht eingegangene Be­schwer­deschrift innerhalb der dreissigtägigen Beschwerdefrist eingereicht worden ist (Art. 108 Abs. 1 AsylG).</w:t>
      </w:r>
    </w:p>
    <w:p>
      <w:r>
        <w:rPr>
          <w:b/>
        </w:rPr>
        <w:t>E. 1.4</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Auf die frist- und formgerecht eingereichte Beschwerde ist somit einzutreten (Art. 105 AsylG i.V.m. Art. 37 VGG und Art. 48 Abs. 1 sowie Art. 52 VwVG).</w:t>
      </w:r>
    </w:p>
    <w:p>
      <w:r>
        <w:rPr>
          <w:b/>
        </w:rPr>
        <w:t>E. 1.5</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gestellt worden sind - was vorliegend der Fall ist - unter anderem die Art. 19 und 20 in der bisherigen Fassung gelten.</w:t>
      </w:r>
    </w:p>
    <w:p>
      <w:r>
        <w:rPr>
          <w:b/>
        </w:rPr>
        <w:t>E. 4.1</w:t>
      </w:r>
    </w:p>
    <w:p>
      <w:r>
        <w:t>Das Bundesamt bewilligt Asylsuchenden die Einreise in die Schweiz zur Abklärung des Sachverhalts, wenn ihnen nicht zugemutet werden kann, im Wohnsitz- oder Aufenthaltsstaat zu bleiben oder in ein anderes Land auszureisen (alt Art. 20 Abs. 2 AsylG). Gestützt auf alt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Die Umschreibung der Verfolgung als ernsthafte Nachteile für die zen­tralen Rechtsgüter (vgl. Art. 3 AsylG) macht klar, dass eine gewisse Intensität der Eingriffe vorauszusetzen ist. Während Massnahmen, wie sie in Art. 3 der Konvention vom 4. November 1950 zum Schutze der Menschenrechte und Grundfreiheiten (EMRK, SR 0.101) um­schrieben werden (Folter, unmenschliche und erniedrigende Handlung), die erforderliche Intensität ohne weiteres zuzusprechen ist, ist bei ge­rin­ge­ren Eingriffen in die genannten Rechtsgüter (etwa Freiheitsent­zug, Schlä­ge und sexuelle Belästigungen) die physische oder psychische Be­ein­trächtigung in Relation zu ihrer Dauer und Häufigkeit sowie zu den gesamten Umständen (unter Einbezug der individuellen Empfindlichkeit und Ver­letzlichkeit) zu setzen. Massnahmen, welche einen unerträglichen psy­­chischen Druck bewirken, müssen sich demgegenüber nicht gegen ei­nes der drei namentlich aufgeführten Rechtsgüter Leib, Leben und Freiheit richten. Da es aber auch bei diesem Tatbestand um einschneidende Ein­griffe gehen muss, sind gemäss der von der vormaligen schweizerischen Asylrekurskommission (ARK) festgelegten und vom Bundesverwaltungsgericht übernommenen Praxis grundsätzlich hohe Anforderungen an solche Verfolgungsmassnahmen zu stellen: Sie müssen derart ernsthaft und intensiv sein, dass damit dem Betroffenen ein menschenwürdiges Le­ben verunmöglicht wird (vgl. Entscheidungen und Mitteilungen der ARK [EMARK] 1996 Nr. 28).</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zum Ganzen BVGE 2011/10 E. 3).</w:t>
      </w:r>
    </w:p>
    <w:p>
      <w:r>
        <w:rPr>
          <w:b/>
        </w:rPr>
        <w:t>E. 5.1</w:t>
      </w:r>
    </w:p>
    <w:p>
      <w:r>
        <w:t>Gemäss ihren Angaben im vorinstanzlichen Verfahren war die Be­schwerdeführerin langjährige Angestellte bei der LTTE-Polizei. Auf Beschwerdeebene macht sie sodann geltend, sie sei eine ehemalige Kämpferin und verfüge über eine militärische Ausbildung (siehe englische Beschwerdeschrift S. 5: "I was an ex-militant who underwent military training"). Dieses Vorbringen ist allerdings nicht nur grundlos nachgeschoben, sondern auch zu unsubstanziiert ausgefallen, und somit unglaubhaft.</w:t>
      </w:r>
    </w:p>
    <w:p>
      <w:r>
        <w:rPr>
          <w:b/>
        </w:rPr>
        <w:t>E. 5.2</w:t>
      </w:r>
    </w:p>
    <w:p>
      <w:r>
        <w:t>Die Tatsache, dass die Beschwerdeführerin von den sri-lan­ki­schen Behörden im Wissen um ihre Zugehörigkeit zur LTTE-Po­li­zei im No­vember 2009 aus dem IDP-Camp entlassen und seither (insbesondere trotz entsprechender Ankündigungen auch seit der Freilassung ih­res Ehe­man­nes aus der Rehabilitation am (...) 2012) weder inhaftiert noch ein Verfahren gegen sie eröffnet wur­de, spricht gegen ein Verfolgungsinteresse der sri-lankischen Behörden an ihrer Person. Das Vorbrin­gen der Beschwerdeführerin, sie sei nur wegen der Kinder nicht inhaftiert worden, vermag nicht zu über­zeugen. Es ist davon auszugehen, dass die sri-lankischen Behörden bei Vorliegen von Verdachtsmomenten gegen die Beschwerdeführerin strafrechtliche Massnahmen ergriffen hätten. Eine (zukünftige) Gefähr­dung durch die sri-lankischen Behörden (oder durch mit ihr zusammenarbeitende Gruppierungen) erscheint daher unwahrscheinlich. Dagegen ist nicht auszuschliessen, dass die Beschwerdeführerin auch in Zukunft von Sicherheitsbehörden zwecks Befragung beziehungsweise Einschüch­terung auf­gesucht oder telefonisch kontaktiert werden dürfte. Dabei handelt es sich aber nicht um genügend intensive Eingriffe im Sinne der Rechtsprechung (vgl. vorstehend E. 4.2).</w:t>
      </w:r>
    </w:p>
    <w:p>
      <w:r>
        <w:rPr>
          <w:b/>
        </w:rPr>
        <w:t>E. 5.3</w:t>
      </w:r>
    </w:p>
    <w:p>
      <w:r>
        <w:t>Des Weiteren bestehen aufgrund der Angaben der Beschwerdeführerin keine genügenden Anhaltspunkte, die auf eine aktuelle oder künftige Verfolgung durch Dritte hinweisen würden. So liegen die letzten und einzigen konkret von ihr genannten Vor­fälle, bei welchen ihr von Unbekannten eine Entführung ange­droht wurde, drei Jahre zurück (vgl. BFM Akten A 9/14 S. 9). Der Hinweis darauf, dass es im D._______ Leute gebe, die sich an ihr rächen wollten, reicht für die An­nahme einer unmittelbaren Verfolgungsgefahr nicht aus. Gleiches gilt für den Um­stand, dass sich einmal ein Unbekannter bei ihrer Mutter nach ihr erkundigt haben soll, sowie für das unsub­stan­ziierte Beschwerdevorbringen, wonach sie von Leuten bedroht werde, die sie im Rahmen ihrer Tätigkeiten für die LTTE zwangsrekrutiert habe.</w:t>
      </w:r>
    </w:p>
    <w:p>
      <w:r>
        <w:rPr>
          <w:b/>
        </w:rPr>
        <w:t>E. 5.4</w:t>
      </w:r>
    </w:p>
    <w:p>
      <w:r>
        <w:t>Schliesslich ist festzuhalten, dass die Beschwerdeführerin weder aus dem Umstand, dass ihr Ehemann angeblich aufgrund von Morddrohungen seit mehreren Monaten versteckt lebt, noch aus ihrem Be­schwerde­vor­brin­gen, es gebe im Norden immer noch täglich Entführungen, Morde und Gewalt, etwas zu ihren Gunsten ableiten kann.</w:t>
      </w:r>
    </w:p>
    <w:p>
      <w:r>
        <w:rPr>
          <w:b/>
        </w:rPr>
        <w:t>E. 5.5</w:t>
      </w:r>
    </w:p>
    <w:p>
      <w:r>
        <w:t>Zusammenfassend ergibt sich, dass vorliegend keine konkreten Hinweise dafür bestehen, die Beschwerdeführerin sei gegenwärtig einer kon­kre­ten Gefährdung ausgesetzt oder habe eine unmittelbar drohende Gefährdung akut zu befürchten. Sie ist somit nicht schutzbedürftig. An dieser Einschätzung vermögen auch die übrigen Beschwerdevorbringen nichts zu ändern, weshalb nicht weiter darauf einzugehen ist. Das BFM hat der Beschwerdeführerin nach dem Gesagten zu Recht die Einreise in die Schweiz verweigert und deren Asylgesuch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7</w:t>
      </w:r>
    </w:p>
    <w:p>
      <w:r>
        <w:t>Bei diesem Ausgang des Verfahrens wären die Kosten grundsätzlich der Be­schwerdeführerin aufzuerlegen (Art. 63 Abs. 1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