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D-6073/2025 vom 29. Januar 2026</w:t>
      </w:r>
    </w:p>
    <w:p>
      <w:r>
        <w:t>Bundesverwaltungsgericht, 2026-01-29, DE</w:t>
      </w:r>
    </w:p>
    <w:p>
      <w:r>
        <w:rPr>
          <w:b/>
        </w:rPr>
        <w:t xml:space="preserve">Quelle: </w:t>
      </w:r>
      <w:r>
        <w:t>https://mcp.opencaselaw.ch/entscheid/bvger_D-6073_2025</w:t>
      </w:r>
    </w:p>
    <w:p>
      <w:r>
        <w:t>FR: TAF D-6073/2025 du 29 janvier 2026</w:t>
      </w:r>
    </w:p>
    <w:p>
      <w:r>
        <w:t>IT: TAF D-6073/2025 del 29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Die Beschwerde- führerin bezahlte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w:t>
      </w:r>
    </w:p>
    <w:p>
      <w:r>
        <w:t>D-6073/2025 Seite 8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Die Beschwerdeführerin wirft dem SEM sinngemäss eine Verletzung des Anspruchs auf rechtliches Gehör respektive des Rechts auf Aktenein- sicht vor, da ihr die Dokumentenanalyse nicht vollständig offengelegt wor- den sei.</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Als Teilgehalt des rechtlichen Gehörs statuiert Art. 26 VwVG einen grundsätzlichen Anspruch auf Akteneinsicht. Gemäss Art. 27 Abs. 1 VwVG darf die Behörde die Einsichtnahme in Akten aber unter anderem dann verweigern, wenn wesentliche Interessen die Geheimhaltung erfordern. Gemäss Art. 27 Abs. 2 VwVG darf das Einsichts- recht allerdings nur soweit beschränkt werden, als effektiv Geheimhal- tungsgründe bestehen. Die Einschränkung oder Verweigerung der Akten- einsicht ist zudem konkret zu begründen (vgl. BVGE 2013/23 E. 6.4.1; Ent- scheidungen und Mitteilungen der Schweizerischen Asylrekurskommission [EMARK] 1994 Nr. 1 E. 4b). Auf ein Aktenstück, bei welchem die Einsichtnahme verweigert respektive eingeschränkt wurde, darf gemäss Art. 28 VwVG zum Nachteil der Partei nur abgestellt werden, wenn ihr die Behörde von seinem für die Sache we- sentlichen Inhalt mündlich oder schriftlich Kenntnis gegeben und ihr aus- serdem Gelegenheit eingeräumt hat, sich zu äussern und allfällige Gegen- beweismittel zu bezeichnen.</w:t>
      </w:r>
    </w:p>
    <w:p>
      <w:r>
        <w:rPr>
          <w:b/>
        </w:rPr>
        <w:t>E. 4.2.1</w:t>
      </w:r>
    </w:p>
    <w:p>
      <w:r>
        <w:t>Der nicht offengelegte Analysenbericht enthält weitergehende Anga- ben, an deren Geheimhaltung ein wesentliches öffentliches Interesse im Sinne von Art. 27 VwVG besteht. Insbesondere soll eine missbräuchliche Verwendung des Dokuments durch die Beschwerdeführerin oder eine missbräuchliche Weiterverwendung der besagten Informationen im Sinne eines Lerneffekts durch Drittpersonen in zukünftigen Asylverfahren vermie- den werden (vgl. dazu: BVGE 2011/37 E. 5.4.4). Die Vorinstanz hat die</w:t>
      </w:r>
    </w:p>
    <w:p>
      <w:r>
        <w:t>D-6073/2025 Seite 9 interne Dokumentenanalyse daher zu Recht von der Akteneinsicht ausge- schlossen.</w:t>
      </w:r>
    </w:p>
    <w:p>
      <w:r>
        <w:rPr>
          <w:b/>
        </w:rPr>
        <w:t>E. 4.3</w:t>
      </w:r>
    </w:p>
    <w:p>
      <w:r>
        <w:t>Bei der Gewährung des rechtlichen Gehörs vom 30. Mai 2025 hat die Vorinstanz der Beschwerdeführerin den wesentlichen Inhalt des Ergebnis- ses der Dokumentenanalyse zur Kenntnis gebracht und begründet, auf- grund welcher Umstände sie auf Fälschungen geschlossen hat. Das Vor- gehen der Vorinstanz ist nicht zu beanstanden.</w:t>
      </w:r>
    </w:p>
    <w:p>
      <w:r>
        <w:rPr>
          <w:b/>
        </w:rPr>
        <w:t>E. 4.4</w:t>
      </w:r>
    </w:p>
    <w:p>
      <w:r>
        <w:t>Eine Verletzung des Anspruchs auf rechtliches Gehör respektive auf Akteneinsicht ist folglich zu verneinen.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SEM erachtete die Verurteilung wegen Mitgliedschaft in einer Ter- rororganisation zu Recht für unglaubhaft, da ein Teil der eingereichten Do- kumente aus diesem Verfahren mehrere Fälschungsmerkmale aufweist. Dass sich unter den Dokumenten auch solche befinden, die keine Fäl- schungsmerkmale aufweisen, ändert an dieser Feststellung nichts, zumal das Fehlen von Fälschungsmerkmalen nicht mit der Echtheit der Doku- mente gleichgesetzt werden kann. Dass die Analyse vom SEM selbst stammt führt nicht dazu, dass dieser keine Beweiskraft beigemessen wer- den kann. Zu erwähnen ist auch, dass das SEM zu Recht auf die Falsch- angaben betreffend die Ausreise verweist, weshalb nicht davon</w:t>
      </w:r>
    </w:p>
    <w:p>
      <w:r>
        <w:t>D-6073/2025 Seite 10 auszugehen ist, dass die Beschwerdeführerin im Zeitpunkt der Ausreise im Fokus der Behörden gestanden hat.</w:t>
      </w:r>
    </w:p>
    <w:p>
      <w:r>
        <w:rPr>
          <w:b/>
        </w:rPr>
        <w:t>E. 5.4</w:t>
      </w:r>
    </w:p>
    <w:p>
      <w:r>
        <w:t>Hinsichtlich der staatsanwaltschaftlichen Ermittlungsverfahren betref- fend Beleidigung, Präsidentenbeleidigung sowie Propaganda für eine Ter- rororganisation ergibt sich, dass diese für sich allein zur Bejahung der Flüchtlingseigenschaft nicht ausreichen. Vielmehr bedarf es für die An- nahme einer mit einem Politmalus behafteten Strafverfolgung zusätzlicher Risikofaktoren, wie etwa das Vorliegen einschlägiger Vorstrafen oder ein exponiertes politisches Profil (vgl. Referenzurteil des BVGer E-4103/2024 vom 8. November 2024 E. 8). Die Beschwerdeführerin weist keine solchen Risikofaktoren auf, da sie über keine hinreichende politische Exponierung verfügt. Der Umstand, dass ihre Schwester offenbar für die HDP aktiv ist und ihrem Bruder Verbindungen zur PKK vorgeworfen werden, reicht dafür nicht aus, zumal die Beschwerdeführerin selbst – auch in der Schweiz – nicht exponiert politisch in Erscheinung tritt. Aus der blossen Mitgliedschaft in der HDP wie auch dem IHD ergibt sich keine Exponierung. Aus der Be- hauptung, zwei Personen, deren Asylgesuche abgelehnt worden seien, seien bei einer Rückkehr inhaftiert worden, kann die Beschwerdeführerin nichts zu ihren Gunsten ableiten, zumal nicht ersichtlich ist, weshalb sich daraus die Gefahr eines Politmalus für die Beschwerdeführerin ergeben könnte.</w:t>
      </w:r>
    </w:p>
    <w:p>
      <w:r>
        <w:rPr>
          <w:b/>
        </w:rPr>
        <w:t>E. 5.5</w:t>
      </w:r>
    </w:p>
    <w:p>
      <w:r>
        <w:t>Das SEM hat folglich zu Recht die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D-6073/2025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w:t>
      </w:r>
    </w:p>
    <w:p>
      <w:r>
        <w:t>D-6073/2025 Seite 12 Behandlung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Beschwerdeführerin lebt seit Kindesalter in der vom Erdbeben im Jahre 2023 betroffenen Provinz (…), bei welcher der Vollzug der Wegwei- sung im Einzelfall individuell zu prüfen und dabei insbesondere den Be- dürfnissen vulnerabler Personen hinreichend Rechnung zu tragen ist (vgl. Referenzurteil des Bundesverwaltungsgerichts E-1308/2023 vom 19. März 2024 E. 11.3).</w:t>
      </w:r>
    </w:p>
    <w:p>
      <w:r>
        <w:rPr>
          <w:b/>
        </w:rPr>
        <w:t>E. 7.3.3</w:t>
      </w:r>
    </w:p>
    <w:p>
      <w:r>
        <w:t>Das SEM weist in diesem Zusammenhang zu Recht darauf hin, dass die Beschwerdeführerin diverse begünstigende Faktoren aufweist. Sie hat ein zweijähriges Studium abgeschlossen (vgl. SEM act. […]-20 F17 bis F19) und mehrjährige Berufserfahrung (vgl. ebd. F20). Vor ihrer Ausreise führte sie eine eigene (…) (vgl. ebd. F20 bis F22). Darüber hinaus verfügt sie namentlich in der Heimatregion über ein tragfähiges Beziehungsnetz (vgl. ebd. F25 bis 29). Zu den medizinischen Leiden ([…] [Arztbericht vom {…} 2025]) ist zu be- merken, dass die Türkei grundsätzlich über ein funktionierendes Gesund- heitssystem verfügt, das insbesondere in grösseren Städten dem europäi- schen Standard entspricht (vgl. Urteil BVGer D-3139/2024 vom 24. März</w:t>
      </w:r>
    </w:p>
    <w:p>
      <w:r>
        <w:t>D-6073/2025 Seite 13 2025 E.7.2.8). Zur im Arztbericht ebenfalls erwähnten Suizidalität ergibt sich, dass auch in solchen Fällen nicht von einem zwangsweisen Wegwei- sungsvollzug abzusehen ist, solange Massnahmen zur Verhütung der Um- setzung einer Suiziddrohung getroffen werden können (vgl. Urteile des BVGer D-1263/2024 vom 21. Oktober 2025 E. 9.3.6; D-670/2024 vom 17. Mai 2024 E. 9.3). Vorliegend ist dies durch eine geeignete psychiatri- sche und medizinische Betreuung im Zeitraum der Rückschaffung möglich. Hinsichtlich allfälliger Medikation kann die Beschwerdeführerin bei Not- wendigkeit sodann auf die finanzielle Unterstützung im Rahmen einer me- dizinischen Rückkehrhilfe gemäss Art. 93 Abs. 1 Bst. d AsylG zurückgrei- fen. In Anbetracht dieser Elemente ist der Vollzug der Wegweisung als zumut- bar zu erachten.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die Bezahlung ist der in selber Höhe geleistete Kos- tenvorschuss zu verwenden.</w:t>
      </w:r>
    </w:p>
    <w:p>
      <w:r>
        <w:t>D-6073/2025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