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D-6073/2015 vom 3. Juli 2017</w:t>
      </w:r>
    </w:p>
    <w:p>
      <w:r>
        <w:t>Bundesverwaltungsgericht, 2017-07-03, DE</w:t>
      </w:r>
    </w:p>
    <w:p>
      <w:r>
        <w:rPr>
          <w:b/>
        </w:rPr>
        <w:t xml:space="preserve">Quelle: </w:t>
      </w:r>
      <w:r>
        <w:t>https://mcp.opencaselaw.ch/entscheid/bvger_D-6073_2015</w:t>
      </w:r>
    </w:p>
    <w:p>
      <w:r>
        <w:t>FR: TAF D-6073/2015 du 3 juillet 2017</w:t>
      </w:r>
    </w:p>
    <w:p>
      <w:r>
        <w:t>IT: TAF D-6073/2015 del 3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laufenden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5</w:t>
      </w:r>
    </w:p>
    <w:p>
      <w:r>
        <w:t>Die Beschwerde ist nach dem Gesagten gutzuheissen, soweit die Aufhebung der vorinstanzlichen Verfügung und Rückweisung der Sache beantragt wird. Angesichts der Beschwerdegutheissung erübrigt es sich, auf die weiteren Beschwerdevorbringen näher einzugehen.</w:t>
      </w:r>
    </w:p>
    <w:p>
      <w:r>
        <w:rPr>
          <w:b/>
        </w:rPr>
        <w:t>E. 6</w:t>
      </w:r>
    </w:p>
    <w:p>
      <w:r>
        <w:t>Bei diesem Ausgang des Verfahrens sind keine Kosten zu erheben (Art. 63 Abs. 1 und 2 VwVG). Das in der Beschwerde vom 28. September 2015 gestellte, bis anhin nicht behandelte Gesuch um Gewährung der unentgeltlichen Rechtspflege (Art. 65 Abs. 1 VwVG) wird dadurch gegenstandslos.</w:t>
      </w:r>
    </w:p>
    <w:p>
      <w:r>
        <w:rPr>
          <w:b/>
        </w:rPr>
        <w:t>E. 7</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reichte zusammen mit der Stellungnahme vom 14. Dezember 2015 eine vom selben Tag datierende, aktualisierte Kostennote ein. Der darin geltend gemachte Zeitaufwand von insgesamt 7.75 Stunden erscheint angesichts der im vorliegenden Fall gegebenen Rechtsfragen und im Vergleich mit ähnlich gelagerten Fällen als zu hoch, zumal sich die Rechtsvertreterin in ihrer Stellungnahme vom 14. Dezember 2015 ab Seite 2 lediglich zu den allgemeinen Verhältnissen in Ungarn äusserte. Sodann ist der angegebene Stundenansatz von Fr. 200.- zu kürzen. Unter Berücksichtigung der massgebenden Bemessungsfaktoren (Art. 9-13 VGKE), insbesondere der Entschädigungspraxis in Vergleichsfällen und der Ausbildung der Rechtsvertreterin, ist der Parteientschädigung ein Stundenansatz von Fr. 150.- zugrunde zu legen. Somit beläuft sich die angepasste Kostennote auf total (gerundet) Fr. 1000.- (inklusive Auslagen). Dieser Betrag ist dem Beschwerdeführer zulasten des SEM als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