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D-6072/2007 vom 23. Juli 2010</w:t>
      </w:r>
    </w:p>
    <w:p>
      <w:r>
        <w:t>Bundesverwaltungsgericht, 2010-07-23, DE</w:t>
      </w:r>
    </w:p>
    <w:p>
      <w:r>
        <w:rPr>
          <w:b/>
        </w:rPr>
        <w:t xml:space="preserve">Quelle: </w:t>
      </w:r>
      <w:r>
        <w:t>https://mcp.opencaselaw.ch/entscheid/bvger_D-6072_2007</w:t>
      </w:r>
    </w:p>
    <w:p>
      <w:r>
        <w:t>FR: TAF D-6072/2007 du 23 juillet 2010</w:t>
      </w:r>
    </w:p>
    <w:p>
      <w:r>
        <w:t>IT: TAF D-6072/2007 del 23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w:t>
      </w:r>
    </w:p>
    <w:p>
      <w:r>
        <w:rPr>
          <w:b/>
        </w:rPr>
        <w:t>E. 1.5</w:t>
      </w:r>
    </w:p>
    <w:p>
      <w:r>
        <w:t>Gemäss Art. 111a Abs. 1 AsylG wurde vorliegend auf die Durchführung des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den Irak aufgrund der allgemeinen Sicherheitslage in C._______ verlassen. Aus seinen Angaben würden sich keine weiteren Gründe für seine Ausreise ergeben. So gebe er an, sein Leben sei aufgrund der allgemeinen Lage nicht mehr sicher gewesen; persönlich sei er jedoch nie bedroht worden. Auch aus dem Umstand, dass sein Bruder entführt und getötet worden sei, würden sich für den Beschwerdeführer keine zusätzlichen Gefährdungselemente ableiten lassen, zumal er Hintergründe und Täterschaft, die zum Tod seines Bruders geführt haben sollen, nicht kenne. Zwar habe der Beschwerdeführer angegeben, das Leben im Irak sei von Terroristen geprägt, da Schiiten von Sunniten und Kurden von Arabern umgebracht würden. Diese Hinweise würden in ihrer pauschalen Form jedoch nicht ausreichen, um eine gezielte Verfolgung des Beschwerdeführers wahrscheinlich erscheinen zu lassen. Somit seien seine Ausreisegründe alleine in der schlechten Sicherheitslage in C._______ begründet, die jedoch als Ausdruck der allgemeinen politischen Situation nicht asylrelevant seien. Die Vorbringen des Beschwerdeführers würden, soweit die Umstände in C._______ betreffend, den Anforderungen an die Flüchtlingseigenschaft gemäss Art. 3 AsylG nicht standhalten. Weiter könnten die Vorbringen, wonach er wegen Drohungen einer Familie D._______ habe verlassen müssen, nachdem er einen ihrer Angehörigen bei einem Unfall angefahren und dieser an den Folgen der erlittenen Verletzungen gestorben sei, aufgrund fehlender Plausibilität nicht geglaubt werden. So sei es offensichtlich unplausibel, dass der Beschwerdeführer trotz bewiesener Unschuld zu einer zweijährigen Haftstrafe verurteilt worden sei. Seine Erklärung sei sinnwidrig, könne doch ein Unschuldiger nicht zu einer Strafe verurteilt werden. Daher könne die behauptete Verbüssung einer Haftstrafe nicht geglaubt werden. Die Unglaubhaftigkeit werde weiter durch widersprüchliche und wenig fundierte Angaben des Beschwerdeführers bestätigt, so hinsichtlich des Zeitpunktes der Übersiedlung nach C._______ im Jahre 2004, der Dauer der Haft beim Sicherheitsdienst sowie bezüglich der Angaben zum Unfall und zum Gefängnisaufenthalt. Die letzteren Angaben würden eine subjektiv geprägte Wahrnehmung und persönliche Betroffenheit vermissen lassen, auch nachdem der Beschwerdeführer nach persönlichem Erleben und im Kopf haften gebliebenen Bildern gefragt worden sei. Da der Beschwerdeführer eine Verbindung zwischen dem Gerichtsverfahren beziehungsweise dem Strafvollzug und den Bedrohungen der Opferfamilie herstelle, könnten auch diese Bedrohungen nicht geglaubt werden. Die Unglaubhaftigkeit werde durch sein unplausibles Verhalten bestätigt, da nicht nachvollziehbar sei, dass er angesichts der Bedrohungen nicht schon damals ausgereist sei. Dies umso mehr, als er angebe, er sei in C._______ nicht sicher vor den Nachstellungen der Opferfamilie gewesen. Gegen das Vorliegen einer ernsthaften Bedrohung spreche im Übrigen der Umstand, dass der Beschwerdeführer in C._______ nie von der Opferfamilie behelligt worden sei. Aus diesen Gründen könnten auch die geltend gemachten Bedrohungen nicht geglaubt werden. Zusammenfassend ergebe sich, dass seine Vorbringen bezüglich C._______ nicht asylrelevant und jene bezüglich D._______ nicht glaubhaft seien.</w:t>
      </w:r>
    </w:p>
    <w:p>
      <w:r>
        <w:rPr>
          <w:b/>
        </w:rPr>
        <w:t>E. 3.2</w:t>
      </w:r>
    </w:p>
    <w:p>
      <w:r>
        <w:t>Demgegenüber machte der Beschwerdeführer in seiner Rechtsmitteleingabe im Wesentlichen geltend, er sei sich sicher, dass er ins Gefängnis gehen müsse, falls er am Unfall schuld gewesen sei. Da es sich um einen Unfall und nicht um eine vorsätzliche Tötung gehandelt habe, müsste er nur für weniger als zwei Jahre im Gefängnis bleiben. Zwar kenne er die Familie des Unfallopfers nicht, er wisse jedoch, dass es sich dabei um eine anzahlmässig grosse und einflussreiche Familie handle, die sich an ihm rächen wolle, und keine Polizei oder Sicherheitskräfte sie davon abhalten könne. Daher sei er kurz nach seiner Freilassung nach C._______ umgezogen. Er habe angenommen, dass er wieder in Ruhe leben könne. Dann sei aber sein Bruder verschwunden. Er könne zwar nicht mit Sicherheit behaupten, dass die Familie des Verstorbenen seinen Bruder auf dem Gewissen habe, aber wenn man die Sachlage logisch durchdenke, würden keine anderen Hintergründe und keine andere Täterschaft in Frage kommen. Er und seine Familie hätten mit niemandem sonst, ausser mit der Familie des Verstorbenen, Probleme gehabt. Mit seinen Erzählungen über die allgemeine Lage im Irak habe er seine Schutzlosigkeit in seiner Heimat zu beschreiben versucht. Weder die Polizei noch die Sicherheitskräfte könnten ihm und seinen Familienangehörigen 24 Stunden beistehen, zumal jene weder Zeit noch das Personal dazu hätten. Er versuche in seiner Heimat das ihn betreffende Gerichtsurteil oder den Totenschein seines Bruders beizubringen, um seine Aussagen belegen zu können. Die Vorhalte des BFM bezüglich widersprüchlicher Aussagen seien als unwesentlich zu erachten, zumal seine Angaben zu den zentralen Asylgründen und Befürchtungen plausibel und nachvollziehbar seien. Er sei keine ausgebildete und kommunikationsbegabte Person und es sei schwer verständlich, dass die Schweizer Behörden über die wirkliche Lage im Irak und die dortigen Probleme im Zusammenhang mit der Blutrache nicht im Bild seien. Da es eine Tatsache sei, dass sich nach dem Sturz des Saddam-Regimes die Sicherheitslage im Irak radikal verschlechtert habe, sei die irakische Regierung nicht fähig, ihm genügenden Schutz zu gewähren, weshalb von einer mittelbaren staatlichen Verfolgung ausgegangen werden müsse. Die Befürchtung, in Zukunft ernsthaften Nachteilen ausgesetzt zu werden, sei objektiv begründet.</w:t>
      </w:r>
    </w:p>
    <w:p>
      <w:r>
        <w:rPr>
          <w:b/>
        </w:rPr>
        <w:t>E. 3.3.1</w:t>
      </w:r>
    </w:p>
    <w:p>
      <w:r>
        <w:t>Insofern der Beschwerdeführer vorbringt, es sei schwer verständlich, dass die Schweizer Behörden über die wirkliche Lage im Irak und die dortigen Probleme im Zusammenhang mit der Blutrache nicht im Bild seien und damit sinngemäss eine unrichtige und unvollständige Sachverhaltsermittlung, mithin eine Verletzung des Untersuchungsgrundsatzes rügt, ist Folgendes festzuhalten: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im angefochtenen Entscheid in einlässlicher Weise zu den angeführten Drohungen seitens der Familie des Unfallopfers und erachtete diese aufgrund diverser Unstimmigkeiten im Sachverhaltsvortrag als unglaubhaft (vgl. act. A8/7, S. 3 f.). Weiter beruht der vorinstanzliche Entscheid hinsichtlich der Beurteilung der Asylvorbringen - wie im Übrigen auch hinsichtlich der Zumutbarkeit des Vollzuges - auf einer laufenden Überprüfung und Einschätzung der aktuellen Situation im Irak. Von einer Verletzung des Untersuchungsgrundsatzes im Rahmen einer unrichtigen oder unvollständigen Feststellung des rechtserheblichen Sachverhaltes kann demnach nicht ausgegangen werden. Die Vorinstanz ist ferner nach Würdigung der Parteivorbringen respektive der aktuellen Situation im Irak zu einem anderen Schluss als der Beschwerdeführer gekommen, was noch keine Verletzung des Untersuchungsgrundsatzes darstellt.</w:t>
      </w:r>
    </w:p>
    <w:p>
      <w:r>
        <w:rPr>
          <w:b/>
        </w:rPr>
        <w:t>E. 3.3.2</w:t>
      </w:r>
    </w:p>
    <w:p>
      <w:r>
        <w:t>In materieller Hinsicht kommt das Bundesverwaltungsgericht nach Würdigung der Akten zum Schluss, dass die Erwägungen der Vorinstanz zur fehlenden Glaubhaftigkeit der Vorbringen des Beschwerdeführers sowie zu den fehlenden Voraussetzungen für die Zuerkennung der Flüchtlingseigenschaft zutreffen und die Ausführungen in der Beschwerdeschrift nicht geeignet sind, die vorinstanzliche Begründung in einem anderen Licht erscheinen zu lassen. So zeigte die Vorinstanz im angefochtenen Entscheid die Gründe, weshalb aufgrund der Aktenlage die Vorbringen des Beschwerdeführers einerseits hinsichtlich der allgemein unsicheren Lage in C._______ sowie des Todes des Bruders als nicht asylrelevant und die Ausführungen bezüglich der Drohungen seitens der Familie des Unfallopfers (Blutrache) sowie der Verbüssung einer zweijährigen Haftstrafe als widersprüchlich, unplausibel und wenig fundiert und somit als unglaubhaft zu erachten sind, in schlüssiger Weise auf. Der Einschätzung des BFM, die vom Beschwerdeführer geltend gemachten Ausreisegründe seien nicht asylrelevant beziehungsweise unglaubhaft, ist somit zuzustimmen. Eine Überprüfung der Akten ergibt, dass dem BFM hinsichtlich der Verneinung der Asylrelevanz der geltend gemachten Benachteiligung aufgrund der allgemein unsicheren Lage in C._______ und des vorgebrachten Todes des Bruders beizupflichten ist. So gab der Beschwerdeführer im Verlaufe der direkten Anhörung auf explizite Nachfrage an, in C._______ selber keinerlei Drohungen gegen seine Person ausgesetzt gewesen zu sein (vgl. act. A5/16, S. 6). Ebenso zu Recht wurde von der Vorinstanz festgehalten, aus der Entführung und dem Tod des Bruders liessen sich keine zusätzlichen Gefährdungselemente für den Beschwerdeführer ableiten. Gemäss seinen eigenen Angaben anlässlich der BFM-Befragung sollen laut polizeilichen Angaben schiitische Personen in diesen Vorfall verwickelt gewesen sein (vgl. act. A5/16, S. 7 oben), was den Schluss zulässt, dass der Bruder Opfer von religiösen Extremisten geworden sein könnte. Eine gezielte Verfolgung des Beschwerdeführers lässt sich jedenfalls aus diesem Umstand noch nicht herleiten. Daran vermag auch der Hinweis in der Rechtsmitteleingabe, wonach es sich bei logischer Überlegung nur um die Familie des Unfallopfers gehandelt haben könne, welche seinen Bruder entführt und danach auch getötet habe, und dementsprechend auch er das Gleiche zu befürchten habe, nichts zu ändern. So erwähnte der Beschwerdeführer anlässlich der Befragung eine solche Vermutung respektive These mit keinem Wort. Zudem führte er an, bei der Familie des Opfers handle es sich um Sunniten (vgl. act. A5/16, S. 13), was seinen Vorbringen, wonach gemäss polizeilichen Angaben Schiiten in den Vorfall verwickelt gewesen seien, widerspricht. Zudem gab der Beschwerdeführer ausdrücklich an, nur sein Leben sei bedroht worden (vgl. act. A5/16, S. 12 unten). Umso mehr bleibt nicht nachvollziehbar, weshalb die Familie des Unfallopfers über drei Jahre nach der Gefängnisentlassung des Beschwerdeführers dessen Bruder hätte entführen und umbringen sollen. Die diesbezüglichen Einwände des Beschwerdeführers entbehren demnach jeglicher Grundlage und können nicht gehört werden. Weiter ist festzustellen, dass die Darlegung der geltend gemachten Bedrohung durch die Familie des Unfallopfers und der angeführten Verbüssung einer Haftstrafe in vielerlei Hinsicht Unstimmigkeiten aufweist und daher nicht den Eindruck vermittelt, er habe das Geschilderte tatsächlich selbst erlebt. Der pauschal gehaltene Einwand des Beschwerdeführers, wonach die vorinstanzlichen Vorhalte in Bezug auf widersprüchliche Aussagen als unwesentlich zu erachten seien, zumal er plausible und nachvollziehbare Angaben zu den zentralen Asylgründen und Befürchtungen gemacht habe, vermag die vorinstanzliche Einschätzung nicht in einem anderen, glaubhafteren Licht erscheinen zu lassen. So beziehen sich die von der Vorinstanz aufgezeigten Ungereimtheiten im Sachverhaltsvortrag des Beschwerdeführers - entgegen seiner Ansicht - gerade nicht auf blosse Nebensächlichkeiten, sondern auf wesentliche Elemente seiner Asylbegründung. Da er überdies die Korrektheit und Wahrheit seiner Angaben am Schluss der Befragungen nach der Rückübersetzung unterschriftlich bestätigte, muss er sich bei seinen Angaben behaften lassen. Zur Vermeidung von Wiederholungen kann diesbezüglich auf die vorinstanzlichen Erwägungen im angefochtenen Entscheid verwiesen werden (vgl. act. A8/7, S. 3 f.). Gestützt wird diese Einschätzung auch durch den Umstand, dass der Beschwerdeführer zwar in seiner Rechtsmitteleingabe noch anführte, er versuche in seiner Heimat das ihn betreffende Gerichtsurteil oder den Totenschein seines Bruders beizubringen, um seine Aussagen belegen zu können, worauf ihm mit Zwischenverfügung vom 27. September 2007 eine 30-tägige Frist zur Beibringung der in Aussicht gestellten Beweismittel eingeräumt wurde. Der Beschwerdeführer liess jedoch in der Folge nicht nur die erwähnte Frist ungenutzt verstreichen, sondern reichte auch bis dato weder die erwähnten Beweismittel noch irgendwelche andere Beweismittel, die zum Beleg seiner Vorbringen dienen könnten, nach, obwohl ihm dies - falls die in Aussicht gestellten Beweismittel tatsächlich existierten - möglich und zumutbar gewesen wäre. Bei dieser Sachlage ist eine begründete Furcht vor asylrelevanten Nachteilen zu verneinen.</w:t>
      </w:r>
    </w:p>
    <w:p>
      <w:r>
        <w:rPr>
          <w:b/>
        </w:rPr>
        <w:t>E. 3.4</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Vorbringen in der Beschwerdeschrift näher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Vorliegend ist auch aufgrund der angeführten Blutrache eine drohende Verletzung von Art. 3 EMRK und damit ein zu beurteilendes Vollzugshindernis auszuschliessen, da die entsprechenden Vorbringen nicht glaubhaft sind. Es ist dem Beschwerdeführer demnach nicht gelungen, eine konkrete Gefahr im Sinne der obenerwähnten Bestimmungen glaubhaft zu machen. Auch die allgemeine Menschenrechtssituation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hat sich in den publizierten Urteilen BVGE 2008/4 und BVGE 2008/5 ausführlich mit der Sicherheitslage im Nordirak auseinandergesetzt. Im zweitgenannten Urteil befasste es sich insbesondere mit der Frage der Zumutbarkeit des Wegweisungsvollzugs in die drei kurdischen Provinzen des Nordiraks.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5.3.3</w:t>
      </w:r>
    </w:p>
    <w:p>
      <w:r>
        <w:t>Der Beschwerdeführer stammt zwar aus C._______ und somit nicht aus einer der oben erwähnten nordirakischen Provinzen. Er lebte jedoch zusammen mit seinen Familienangehörigen in den Jahren 1988 bis 2004 in D._______ in der (...) Provinz und verbrachte somit den grössten Teil seines bisherigen Lebens in dieser nordirakischen Provinz. Es kann vorliegend davon ausgegangen werden, dass sich der noch junge Beschwerdeführer angesichts der vorbestehenden Kontakte in der Provinz D._______, der Kenntnisse der dortigen Verhältnisse und Lebensumstände sowie aufgrund seiner Berufserfahrungen aus eigenen Kräften eine (erneute) selbstständige Existenzgrundlage wird erarbeiten können, ohne die damit allenfalls verbundenen Schwierigkeiten verkennen zu wollen. Überdies dürften Hilfeleistungen von lokal tätigen Hilfsorganisationen die Wiedereingliederung in zusätzlicher Weise unterstützen. Ferner bestehen in casu ernsthafte Gründe für die Annahme, dass aufgrund der unglaubhaften Ausführungen zu den Gründen des Verlassens von D._______ der Beschwerdeführer und seine übrigen, angeblich nach C._______ zurückgekehrten Familienangehörigen D._______ im Jahre 2004 gar nicht verlassen haben und noch immer dort wohnhaft sind. Demnach sind, entgegen der anderslautenden Ansicht in der Beschwerdeschrift, auch keine Gründe ersichtlich, welche gegen die Zumutbarkeit eines Wegweisungsvollzugs sprechen könnten.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im Sinne von Art. 65 Abs. 1 VwVG abzuweisen.</w:t>
      </w:r>
    </w:p>
    <w:p>
      <w:r>
        <w:rPr>
          <w:b/>
        </w:rPr>
        <w:t>E. 7.2</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