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D-6066/2020 vom 25. Mai 2022</w:t>
      </w:r>
    </w:p>
    <w:p>
      <w:r>
        <w:t>Bundesverwaltungsgericht, 2022-05-25, FR</w:t>
      </w:r>
    </w:p>
    <w:p>
      <w:r>
        <w:rPr>
          <w:b/>
        </w:rPr>
        <w:t xml:space="preserve">Quelle: </w:t>
      </w:r>
      <w:r>
        <w:t>https://mcp.opencaselaw.ch/entscheid/bvger_D-6066_2020</w:t>
      </w:r>
    </w:p>
    <w:p>
      <w:r>
        <w:t>FR: TAF D-6066/2020 du 25 mai 2022</w:t>
      </w:r>
    </w:p>
    <w:p>
      <w:r>
        <w:t>IT: TAF D-6066/2020 del 25 maggio 2022</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t>D-6066/2020 Page 4</w:t>
      </w:r>
    </w:p>
    <w:p>
      <w:r>
        <w:rPr>
          <w:b/>
        </w:rPr>
        <w:t>E. 1.2</w:t>
      </w:r>
    </w:p>
    <w:p>
      <w:r>
        <w:t>Les dernières dispositions de la modification du 25 septembre 2015 de la loi du 26 juin 1998 sur l’asile sont entrées en vigueur le 1er mars 2019 (RO 2018 2855). En ce qui concerne la présente procédure, elle est régie par l’ancien droit (dispositions transitoires de la modification du 25 septembre 2015 al. 1, RO 2016 3101).</w:t>
      </w:r>
    </w:p>
    <w:p>
      <w:r>
        <w:rPr>
          <w:b/>
        </w:rPr>
        <w:t>E. 1.3</w:t>
      </w:r>
    </w:p>
    <w:p>
      <w:r>
        <w:t>L’intéressé a qualité pour recourir (art. 48 al. 1 PA). Présenté dans la forme (art. 52 al. 1 PA) et le délai (ancien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1.5</w:t>
      </w:r>
    </w:p>
    <w:p>
      <w:r>
        <w:t>Le Tribunal n'étant pas lié par les motifs invoqués à l'appui du recours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rPr>
          <w:b/>
        </w:rPr>
        <w:t>E. 1.6</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w:t>
      </w:r>
    </w:p>
    <w:p>
      <w:r>
        <w:rPr>
          <w:b/>
        </w:rPr>
        <w:t>E. 2.1</w:t>
      </w:r>
    </w:p>
    <w:p>
      <w:r>
        <w:t>Sur le plan formel, l’intéressé soutient que le SEM a violé son droit d’être entendu et qu’il a établi de manière inexacte et incomplète l’état de fait.</w:t>
      </w:r>
    </w:p>
    <w:p>
      <w:r>
        <w:rPr>
          <w:b/>
        </w:rPr>
        <w:t>E. 2.2</w:t>
      </w:r>
    </w:p>
    <w:p>
      <w:r>
        <w:t>Ancré à l’art. 29 al. 2 Cst. (RS 1010), le droit d’être entendu a un double rôle ; d’une part, il assure la participation de l’administré à la prise de décision, d’autre part, il sert à l’établissement des faits (cf. ATF 142 I 86 consid. 2.2). Il implique en outre l'obligation, pour l'autorité, de motiver sa décision. Cette obligation, prévue à l'art. 35 PA, est respectée si l'autorité mentionne, au moins brièvement, les motifs qui l'ont guidée et sur lesquels</w:t>
      </w:r>
    </w:p>
    <w:p>
      <w:r>
        <w:t>D-6066/2020 Page 5 elle a fondé sa décision, afin que l'intéressé puisse se rendre compte de sa portée et l'attaquer en connaissance de cause (cf.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L’obligation d'une tenue adéquate et le droit à une pagination correcte d’un dossier sont également considérés comme une composante de l'art. 29 al. 2 Cst. ; pour répondre à cette exigence, le dossier doit être complet et comporter l’ensemble des éléments collectés par l'autorité (cf. ATAF 2013/23 consid. 6.4.2). Ainsi, la gestion du dossier doit être ordonnée, claire et complète de manière qu’il doit être possible de contrôler quelle autorité l’a effectuée et comment elle a été assurée (cf. ATAF 2011/37 consid. 5.4.1).</w:t>
      </w:r>
    </w:p>
    <w:p>
      <w:r>
        <w:rPr>
          <w:b/>
        </w:rPr>
        <w:t>E. 2.3</w:t>
      </w:r>
    </w:p>
    <w:p>
      <w:r>
        <w:t>Le recourant reproche au SEM de ne pas avoir mentionné dans l’état de fait de la décision entreprise l’analyse interne de son passeport (B29/1) effectuée par ses services. Or, dans la mesure où l’examen de ce document a corroboré ses déclarations et que le SEM ne les a pas remises en cause, ce dernier n’avait pas à l’intégrer dans la décision entreprise, ces éléments ne faisant pas partie de l’objet litigieux.</w:t>
      </w:r>
    </w:p>
    <w:p>
      <w:r>
        <w:rPr>
          <w:b/>
        </w:rPr>
        <w:t>E. 2.4</w:t>
      </w:r>
    </w:p>
    <w:p>
      <w:r>
        <w:t>L’intéressé fait également valoir que le SEM a établi de manière inexacte ou incomplète l’état de fait pertinent, dans la mesure où il a attendu un an, depuis le dépôt de sa demande d’asile, pour tenir ses auditions. Toutefois, il n’indique pas quel préjudice il aurait subi de ce fait ou ce qui l’aurait empêché de faire valoir l’ensemble de ses motifs d’asile. Il n’a par ailleurs entrepris aucune démarche auprès du SEM en vue de modifier ou de compléter ses déclarations sur un point ou sur un autre. Dans ces conditions, ce grief doit être écarté.</w:t>
      </w:r>
    </w:p>
    <w:p>
      <w:r>
        <w:rPr>
          <w:b/>
        </w:rPr>
        <w:t>E. 2.5</w:t>
      </w:r>
    </w:p>
    <w:p>
      <w:r>
        <w:t>En revanche, c’est à juste titre que l’intéressé reproche au SEM une violation de l’obligation de motivation s’agissant de la présence des membres de la famille de sa mère en Suisse. En effet, comme cela ressort de l’état de fait de la décision du 22 octobre 2020 prise à l’encontre de ses parents et de ses frère et sœurs, le SEM a précisé que les dossiers de [membre de famille] ([membre de famille] de sa mère, N …) et de [membre de famille] ([membre de famille] de sa mère, N …) avaient été consultés (cf. p. 4, ch. 9), tandis que dans les considérants, il a estimé que les motifs d’asile de sa mère ne pouvaient pas être mis en relation avec ceux allégués par [membre de famille] et [membre de famille]. A l’examen des différents dossiers de la famille du recourant, il apparaît que non seulement [membre de famille] (N …) mais également [membre de famille] (N …), ignoré par le</w:t>
      </w:r>
    </w:p>
    <w:p>
      <w:r>
        <w:t>D-6066/2020 Page 6 SEM, se sont vu octroyer l’asile en Suisse. Comme le Tribunal l’a déjà mentionné (cf. notamment arrêt du Tribunal E-5356/2018 du 16 novembre 2020, consid. 10.3), les autorités syriennes arrêtent et soumettent à maltraitances les membres de la famille d’une personne considérée comme opposante, pour les punir des activités d’opposition de cette personne, pour obtenir d’eux des informations sur son lieu de séjour, pour contraindre celle-ci à se rendre aux autorités, pour obtenir des aveux ou pour les poursuivre personnellement en raison d’un comportement jugé comme étant proche des mouvements d’opposition. Les différentes parties à la guerre civile (parmi celles-ci, l’armée syrienne et les milices) recourent ainsi à la stratégie de la persécution réfléchie (cf. arrêt du Tribunal E-1175/2019 du 24 septembre 2020, consid. 6.3.1 ainsi que E-734/2016 du 14 janvier 2019 consid. 7.2). Dans ces conditions, le fait que [membre de famille] et [membre de famille] du recourant se sont vu reconnaître la qualité de réfugié et ont obtenu l’asile constitue potentiellement un élément pertinent au regard de la demande d’asile de l’intéressé et aurait dû faire l’objet d’une appréciation dans les considérants de la décision querellée. Aussi, le SEM aurait dû examiner d’office, dans les considérants de sa décision, si en raison de l’octroi de l’asile à ces membres de sa famille en Suisse, lui-même et ses parents pouvaient tomber dans le collimateur des autorités syriennes en cas de retour en Syrie. N’ayant pas effectué dit examen, il a violé son obligation de motiver, respectivement le droit d’être entendu du recourant. La motivation de la décision du SEM doit en conséquence être complétée sur ce point.</w:t>
      </w:r>
    </w:p>
    <w:p>
      <w:r>
        <w:rPr>
          <w:b/>
        </w:rPr>
        <w:t>E. 3.1</w:t>
      </w:r>
    </w:p>
    <w:p>
      <w:r>
        <w:t>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PHILIPPE WEISSENBERGER, commentaire ad art. 61 PA, in : Praxiskommentar VwVG, Waldmann/Weissenberger [édit.] 2016, p. 1210 ; PIERRE MOOR/ETIENNE POLTIER, Droit administratif 2011, 3e éd., vol. II, n° 5.8.4.3, p. 826 à 828).</w:t>
      </w:r>
    </w:p>
    <w:p>
      <w:r>
        <w:t>D-6066/2020 Page 7</w:t>
      </w:r>
    </w:p>
    <w:p>
      <w:r>
        <w:rPr>
          <w:b/>
        </w:rPr>
        <w:t>E. 3.2</w:t>
      </w:r>
    </w:p>
    <w:p>
      <w:r>
        <w:t>En l’espèce, il y a lieu de renvoyer la cause au SEM, lequel a octroyé l’asile à [membre de famille] (N …) et à [membre de famille] (N …) du recourant, en l’invitant à examiner si ces décisions sont susceptibles d’exposer celui-ci à un danger en cas de retour en Syrie et à motiver sa nouvelle décision sur ce point. Les pièces des dossiers N (…) et N (…) qui serviront à la motivation de sa nouvelle décision devront faire partie intégrante du dossier du recourant. De plus, un renvoi de l'affaire audit Secrétariat se justifie également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et 2010/46 consid. 4 ; voir également MOOR / POLTIER, op. cit., no 5.8.4.3, pp. 826 à 828 ; PHILIPPE WEISSENBERGER, in : Waldman / Weissenberger, Praxiskommentar zum Bundesgesetz über das Verwaltungsverfahren, 2009, ad art. 61 PA, pp. 1210 et 1211, ch. 16 et 17; MADELEINE CAMPRUBI, in : Auer / Müller / Schindler, Kommentar zum Bundesgesetz über das Verwaltungsverfahren [VwVG], 2008, no 11, p. 773; ALFRED KÖLZ/ISABELLE HÄNER, Verwaltungsverfahren und Verwaltungsrechtspflege des Bundes, 2ème éd., 1998, no 694, pp. 245/246).</w:t>
      </w:r>
    </w:p>
    <w:p>
      <w:r>
        <w:rPr>
          <w:b/>
        </w:rPr>
        <w:t>E. 4</w:t>
      </w:r>
    </w:p>
    <w:p>
      <w:r>
        <w:t>Partant, le recours est admis, la décision attaquée annulée et la cause renvoyée au SEM pour complément d'instruction et nouvelle décision en matière d'asile et de renvoi (art. 61 al. 1 PA).</w:t>
      </w:r>
    </w:p>
    <w:p>
      <w:r>
        <w:rPr>
          <w:b/>
        </w:rPr>
        <w:t>E. 5</w:t>
      </w:r>
    </w:p>
    <w:p>
      <w:r>
        <w:t>S'avérant manifestement fondé, le recours est admis dans une procédure à juge unique, avec l'approbation d'un second juge (art. 111 let. e LAsi), sans échange d'écritures.</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in : Praxiskommentar VwVG, op. cit., ad art. 63 PA, n° 14, p. 1314). Dès lors, il n’est pas perçu de frais de procédure (art. 63 al. 1 et 2 PA).</w:t>
      </w:r>
    </w:p>
    <w:p>
      <w:r>
        <w:t>D-6066/2020 Page 8</w:t>
      </w:r>
    </w:p>
    <w:p>
      <w:r>
        <w:rPr>
          <w:b/>
        </w:rPr>
        <w:t>E. 6.2</w:t>
      </w:r>
    </w:p>
    <w:p>
      <w:r>
        <w:t>Les demandes de dispense d’avance de frais et d’assistance judiciaire partielle, déposées simultanément au recours, sont sans objet.</w:t>
      </w:r>
    </w:p>
    <w:p>
      <w:r>
        <w:rPr>
          <w:b/>
        </w:rPr>
        <w:t>E. 6.3.1</w:t>
      </w:r>
    </w:p>
    <w:p>
      <w:r>
        <w:t>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w:t>
      </w:r>
    </w:p>
    <w:p>
      <w:r>
        <w:rPr>
          <w:b/>
        </w:rPr>
        <w:t>E. 6.3.2</w:t>
      </w:r>
    </w:p>
    <w:p>
      <w:r>
        <w:t>En l’absence d’un décompte de prestation, le montant des dépens, à charge du SEM, est fixé, ex aequo et bono, à 200 francs, étant donné que la quasi intégralité des frais en relation avec l’activité indispensable et utile déployée par le mandataire du recourant dans la présente procédure de recours a déjà été indemnisée dans la procédure connexe D-6063/2020 (art. 8 à 11 et 14 al. 2 phr. 2 FITAF).</w:t>
      </w:r>
    </w:p>
    <w:p>
      <w:r>
        <w:t>(dispositif page suivante)</w:t>
      </w:r>
    </w:p>
    <w:p>
      <w:r>
        <w:t>D-6066/2020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