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D-6062/2013 vom 26. Februar 2014</w:t>
      </w:r>
    </w:p>
    <w:p>
      <w:r>
        <w:t>Bundesverwaltungsgericht, 2014-02-26, DE</w:t>
      </w:r>
    </w:p>
    <w:p>
      <w:r>
        <w:rPr>
          <w:b/>
        </w:rPr>
        <w:t xml:space="preserve">Quelle: </w:t>
      </w:r>
      <w:r>
        <w:t>https://mcp.opencaselaw.ch/entscheid/bvger_D-6062_2013</w:t>
      </w:r>
    </w:p>
    <w:p>
      <w:r>
        <w:t>FR: TAF D-6062/2013 du 26 février 2014</w:t>
      </w:r>
    </w:p>
    <w:p>
      <w:r>
        <w:t>IT: TAF D-6062/2013 del 26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bestimmen sich im Asylbereich nach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der Beschwerdeführer mache geltend, dass das gegen ihn eingeleitete Verfahren sistiert worden sei und eingestellt werde, falls er innerhalb von drei Jahren kein ähnliches Delikt begehe. Damit stehe fest, dass er aufgrund des sistierten Verfahrens zum aktuellen Zeitpunkt nichts zu befürchten habe und von keiner asylrelevanten Verfolgung bedroht sei. Anlässlich der Anhörung vom 13. September 2013 damit konfrontiert, dass die Sache in drei Jahren erledigt sei, wenn er sich klaglos verhalte, habe er entgegnet, dass er dann während dreier Jahre wie ein Schaf leben müsse und beispielsweise an keine Demonstrationen gehen könne. Zwar könne nicht verlangt werden, dass sich Bürger in ihrem Heimatland nicht politisch engagierten, um sich nicht einer Verfolgung auszusetzen. Das schweizerische Asylgesetz sehe hingegen auch nicht vor, ausländische Bürger durch Asylgewährung gleichsam präventiv zu schützen, sich im Heimatland politisch zu engagieren. Wenn - so wie in casu - einer Person im Heimatland zum Zeitpunkt des Asylentscheides keine asylrelevante Verfolgung drohe, so sei deshalb das Asylgesuch abzuweisen und die Wegweisung zu vollziehen. Sollte gegen den Beschwerdeführer nach seiner Rückkehr in die Türkei wegen politischer Aktivitäten erneut ein Verfahren eingeleitet werden, so stehe in Kenntnis der türkischen Gerichtspraxis fest, dass Angeklagte bis zum Abschluss eines Strafverfahrens nicht in Untersuchungshaft und auch nicht in Sicherheitshaft genommen würden. Zudem könne ein erstinstanzliches Urteil immer angefochten werden. Bis zum Erlass eines Urteils des Beschwerdegerichtshofes beziehungsweise bis unmittelbar davor könnten Beschwerdeführende den Gang des Strafverfahrens in Freiheit abwarten. Erst nach rechtskräftigem Abschluss des Strafverfahrens würden behördliche Schritte zur Sicherung des Strafvollzugs eingeleitet. Dies könne jedoch längere Zeit dauern. Sollte beim Beschwerdeführer ein solcher Fall eintreten, so könne er die Türkei erneut verlassen und ein Land seiner Wahl um Prüfung seines Asylgesuchs anrufen. Anzufügen bleibe, dass in der Heimat des Beschwerdeführers bei weitem nicht jedes politische Engagement zu einer Verfolgung führe.</w:t>
      </w:r>
    </w:p>
    <w:p>
      <w:r>
        <w:rPr>
          <w:b/>
        </w:rPr>
        <w:t>E. 3.2</w:t>
      </w:r>
    </w:p>
    <w:p>
      <w:r>
        <w:t>Demgegenüber brachte der Beschwerdeführer in seiner Rechtsmitteleingabe vor, aufgrund eines Zeitungsartikels sei gegen ihn in J._______ ein Gerichtsverfahren eingeleitet worden, dass inzwischen sistiert worden sei beziehungsweise eingestellt werde, falls er innerhalb von drei Jahren kein ähnliches Delikt begehe. Der angefochtene Entscheid werde nur mit Annahmen begründet und die Vorinstanz behaupte, es liege keine asylrelevante Verfolgung vor. Tatsächlich sei es aber so, dass er trotz sistiertem Gerichtsverfahren bei der Polizei im Informationssystem GBT als "Terrorist" oder "Beteiligter einer Terroraktion" registriert worden sei. Die Praxis der türkischen Polizei habe gezeigt, dass nach einer von Kurden durchgeführten Aktion diese Personen gesucht und in Haft genommen würden. Dabei sei es nicht selten, dass Festgenommene grundlos und ohne Beweise monatelang in Haft bleiben müssten. Sodann sei es fast unmöglich, eine Arbeitsstelle zu finden, da Arbeitgeber bei der Prüfung von Bewerbungen oft auf das GBT zurückgreifen würden. Dies stelle eine ständige Verfolgung im Sinne von Art. 3 AsylG dar. In seinem Fall handle es sich nicht um einen präventiven Schutz, sondern um Schutz vor einer konkreten Gefahr. Dieser Umstand sei in Berichten mehrerer Organisationen festgehalten worden, wie beispielsweise dem Amnesty International Freedom House Committee to Protect Journalists (CPJ), von Reporters without Borders (RSF) oder den Türkischen Menschenrechtsvereinen THIV und IHD. Sinngemäss sei auch Art. 3 der Konvention vom 4. November 1950 zum Schutz der Menschenrechte und Grundfreiheiten (EMRK, SR 0.101) zitiert worden, wonach niemand der Folter oder unmenschlicher oder erniedrigender Strafe oder Behandlung unterworfen werden dürfe. Die Sistierung respektive die allfällige Einstellung seines Gerichtsverfahrens sei aufgrund einer Gesetzesänderung vorgenommen worden, welche seit einigen Monaten in Kraft sei. Diesbezüglich bestünden keine Erfahrungen, wie die Polizei beziehungsweise die Gerichte sich verhalten würden, falls innerhalb von drei Jahren ein ähnliches Delikt vorliege. Es sei lediglich angenommen worden, dass die Betroffenen den Abschluss des Verfahrens in Freiheit abwarten dürften. Falls sein Asylantrag abgelehnt werden sollte, sei er deshalb in der Schweiz vorläufig aufzunehmen, bis sich bezüglich der in Frage stehenden Gesetzesänderung eine Praxis der türkischen Behörden gebildet habe und dadurch eine klare Ausgangslage vorliege. 4.1 Dem Beschwerdeführer gelingt es nicht, die von der Vorinstanz gezogenen Schlussfolgerungen betreffend die fehlenden Anforderungen an die Flüchtlingseigenschaft in einem anderen Licht darzustellen, weshalb die diesbezügliche Einschätzung des BFM im Ergebnis zu bestätigen ist. 4.2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m.w.H.). 4.3 Es ist festzustellen, dass aufgrund der geltend gemachten Sachverhaltselemente keine beachtliche Wahrscheinlichkeit anzunehmen ist, die vom Beschwerdeführer geäusserten Befürchtungen würden sich in absehbarer Zeit verwirklichen. Er wurde im Zeitpunkt seiner Ausreise weder behördlich verfolgt noch lagen konkrete Hinweise für das Vorliegen einer begründeten Furcht vor asylrelevanten Nachteilen vor, noch ist eine aktuell bestehende Verfolgung seiner Person im heutigen Zeitpunkt zu erkennen. Die Vorinstanz hat zu Recht darauf hingewiesen, dass der Beschwerdeführer aufgrund des sistierten Gerichtsverfahrens zum aktuellen Zeitpunkt in der Türkei nichts zu befürchten hat und von keiner asylrelevanten Verfolgung bedroht ist. Gemäss seiner Darstellung erhielt er im (...), als seine Familie die gerichtliche Vorladung entgegengenommen habe, Kenntnis von der Einleitung eines Gerichtsverfahrens gegen ihn (vgl. act. A6/11 S. 7; A14/10 S. 5). Obwohl er der gerichtlichen Vorladung keine Folge leistete und seine offizielle Adresse den Behörden bekannt war, erlitt er aufgrund seiner Weigerung keine irgendwie gearteten behördlichen Nachteile und wurde den Akten zufolge weder vor seiner Ausreise noch im Anschluss an dieselbe gesucht. Zudem verblieb er nach der Zustellung der gerichtlichen Vorladung, welche ihn eine Verfolgung durch die Behörden fürchten liess, noch rund drei Monate im Heimatstaat, ohne in dieser Zeit irgendwelche Nachteile erlitten zu haben. Wie die Vorinstanz zu Recht festhielt, kann vom Beschwerdeführer bei einer Rückkehr nicht verlangt werden, sich politisch nicht zu betätigen, um einer allfälligen behördlichen Verfolgung zu entgehen. Jedoch bildet bei Weitem nicht jede politische Betätigung Grund für Repressionsmassnahmen der türkischen Behörden. Damit ist beim derzeitigen Stand der Dinge der Ausgang seines Verfahrens in der Türkei vollkommen offen, zumal nicht beurteilt werden kann, ob und wie sich der Beschwerdeführer nach einer Rückkehr in seine Heimat innerhalb der ihm gerichtlich auferlegten Frist von drei Jahren - von der im Übrigen im heutigen Zeitpunkt mehr als die Hälfte bereits verstrichen ist - politisch betätigen wird, was auch die Möglichkeit einschliesst, dass das Verfahren gegen ihn letztlich eingestellt werden könnte. Im Falle einer tatsächlichen Verurteilung wäre es dem Beschwerdeführer sodann zuzumuten, den ordentlichen Rechtsmittelweg zu beschreiten. Es ist diesbezüglich auf die zutreffenden vorinstanzlichen Erwägungen zu verweisen. Das Bundesverwaltungsgericht kann sich somit zum heutigen, massgebenden Zeitpunkt nicht der Einschätzung in der Beschwerde anschliessen, wonach der Beschwerdeführer aufgrund der in der Rechtsmitteleingabe geltend gemachten Registrierung im Informationssystem GBT als "Terrorist" oder als "Beteiligter einer Terroraktion" sinngemäss im Falle einer Rückkehr in die Türkei eine mehrmonatige Untersuchungshaft respektive eine dementsprechende Haftstrafe zu gewärtigen hätte. Zudem ist die angeführte Befürchtung, infolge seiner Registrierung im GBT keine Arbeitsstelle mehr finden zu können, nicht asylbeachtlich, da solche wirtschaftlichen Schwierigkeiten keinen der in Art. 3 AsylG enthaltenen Gründe beschlagen. Nach dem Gesagten liegen keine Hinweise auf eine aktuell bestehende individuelle Verfolgungsgefahr des Beschwerdeführers vor. 4.4 Aufgrund der vorstehenden Erwägungen erübrigt es sich, auf die weiteren Ausführungen in der Beschwerde und die Beweismittel im Einzelnen näher einzugehen, weil sie am Ergebnis nichts zu ändern vermögen respektive die Beweismittel einzig dem Beleg des in casu nicht bestrittenen Sachverhalts zu dienen vermögen. Unter Berücksichtigung der gesamten Umstände folgt, dass der Beschwerdeführer keine Gründe nach Art. 3 AsylG nachweisen oder glaubhaft machen konnte. Das Bundesamt hat daher zu Recht die Flüchtlingseigenschaft des Beschwerdeführers gemäss Art. 3 Abs. 1 und 2 AsylG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2011/24 E. 10.1 S. 502, BVGE 2009/50 E. 9 S. 733, BVGE 2008/34 E. 9.2 S. 510,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6.2.3 Nach dem Gesagten ist der Vollzug der Wegweisung sowohl im Sinne der asyl- als auch der völkerrechtlichen Bestimmungen zulässig.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6.3.2 Vorliegend ist der Vollzug der Wegweisung für den Beschwerdeführer als zumutbar zu erachten, weil keine Hinweise dafür erkennbar sind, er wäre bei einer Rückkehr in die Türkei einer konkreten Gefährdung im genannten Sinne ausgesetzt. 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 ausser in den Provinzen Hakkari und Sirnak - nicht generell als unzumutbar zu bezeichnen (vgl. BVGE 2013/2). Überdies lässt sich eine andere Einschätzung mit Bezug auf den Herkunftsort respektive die Herkunftsprovinz des Beschwerdeführers (C._______) und die Provinz seines letzten Wohnortes (D._______) nicht zureichend abstützen. Der Beschwerdeführer verfügt über eine zwölfjährige Schulbildung und ausgezeichnete Kenntnisse der türkischen Sprache, war nach dem Gymnasium an der Universität von D._______ bis zur Ausreise Student und ist eigenen Angaben zufolge im heutigen Zeitpunkt an der Fernuniversität G._______ immatrikuliert (vgl. act. A6/11 S. 3). Diese Kenntnisse werden dem Beschwerdeführer beim Wiederaufbau einer Existenz in seinem Heimatland zugutekommen. Dort verfügt er überdies - sowohl in seiner Herkunftsregion als auch an seinem letzten Wohnort - über etliche Familienangehörige (Eltern und Geschwister), welche ihn bei einer Reintegration unterstützen können. Zudem kann er auf die Unterstützung einer in der Schweiz lebenden weiteren Familienangehörigen ([...]) - zumindest in finanzieller Hinsicht - zählen (vgl. act. A6/11 S. 5). Zur Überbrückung allfälliger Anfangsschwierigkeiten kann er beim BFM Rückkehrhilfe beantragen. Insbesondere genügen blosse soziale und wirtschaftliche Schwierigkeiten, von denen die ansässige Bevölkerung im Allgemeinen betroffen ist, nicht, um eine konkrete Gefährdung im Sinne von Art. 83 Abs. 4 AuG darzustellen (vgl. BVGE 2010/41 E. 8.3.6 S. 591). Es ist somit nicht anzunehmen, dass der Beschwerdeführer bei einer Rückkehr in seinen Heimatstaat in eine existenzielle Notlage geraten würde. 6.3.3 Nach dem Gesagten kann der Vollzug der Wegweisung in genereller und individueller Hinsicht als zumutbar bezeichnet werden.</w:t>
      </w:r>
    </w:p>
    <w:p>
      <w:r>
        <w:rPr>
          <w:b/>
        </w:rPr>
        <w:t>E. 6.4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rechtskonform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