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D-6060/2013 vom 16. April 2014</w:t>
      </w:r>
    </w:p>
    <w:p>
      <w:r>
        <w:t>Bundesverwaltungsgericht, 2014-04-16, DE</w:t>
      </w:r>
    </w:p>
    <w:p>
      <w:r>
        <w:rPr>
          <w:b/>
        </w:rPr>
        <w:t xml:space="preserve">Quelle: </w:t>
      </w:r>
      <w:r>
        <w:t>https://mcp.opencaselaw.ch/entscheid/bvger_D-6060_2013</w:t>
      </w:r>
    </w:p>
    <w:p>
      <w:r>
        <w:t>FR: TAF D-6060/2013 du 16 avril 2014</w:t>
      </w:r>
    </w:p>
    <w:p>
      <w:r>
        <w:t>IT: TAF D-6060/2013 del 16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S. 20 f. und BVGE 2011/10 E. 3 - 5 S. 126 ff.) .</w:t>
      </w:r>
    </w:p>
    <w:p>
      <w:r>
        <w:rPr>
          <w:b/>
        </w:rPr>
        <w:t>E. 4.3</w:t>
      </w:r>
    </w:p>
    <w:p>
      <w:r>
        <w:t>Nach aArt. 52 Abs. 2 AsylG kann einer Person, die sich im Ausland be­findet, das Asyl verweigert werden, wenn es ihr zugemutet werden kann, sich in einem anderen Staat um Aufnahme zu bemühen. Bei der Anwendung von aArt.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bereits vorstehend unter E. 4.2 erwähnten Kriterien zu berücksichtigen (vgl. EMARK 1997 Nr. 15, insb. E. 2f S. 131 ff.; vgl. auch BVGE 2012/3 E. 2.3 S. 20 f. und BVGE 2011/10 E. 3.2 S. 126 und E. 5.1 S. 128). 5.1 Die Beschwerdeführerin begründete ihr Gesuch damit, dass sie tibetanischer Ethnie sei und zusammen mit ihren Kindern und den Schwiegereltern in C._______ (China) gelebt habe. Nachdem ihr Ehemann, der sich mittlerweile als vorläufig aufgenommener Flüchtling in der Schweiz befinde, Tibet Ende 2009 verlassen habe, sei sie von der chinesischen Polizei etwa 20mal zuhause aufgesucht und unter Androhung von Nachteilen nach dem Verbleib des Ehemannes befragt worden. Sie sei deshalb (...) 2012 über Nepal nach Indien geflohen, wo sie sich seit (...) (...) 2012 aufhalte. In Indien habe sie keinen Aufenthaltstitel erhalten, da sie angegeben habe, zu ihrem Ehemann weiterreisen zu wollen. Darüber hinaus sei ihr Lebensstandard in Indien tief und sie verfüge über keine Kenntnisse der dortigen Sprache. 5.2 Das BFM begründete seine Verfügung damit, die Beschwerdeführerin habe bisher weder ihre Identität noch diejenige ihres Ehemannes mit Dokumenten belegt. Ihre Gefährdung habe sie mit der politischen Aktivität des Ehemannes begründet. Dessen Asylgesuch sei jedoch am 6. Mai 2011 wegen Unglaubhaftigkeit des geltend gemachten politischen Engagements abgelehnt worden und diese Verfügung sei unangefochten in Rechtskraft erwachsen. Aufgrund dieser Feststellung sei auch die von der Beschwerdeführerin mit dem politischen Engagement des Ehemannes begründete Verfolgung für unglaubhaft zu erachten. In Anbetracht der vorgebrachten regelmässigen Behelligungen seitens der Polizei erstaune ferner, dass die Beschwerdeführerin erst nach mehr als zwei Jahren nach dem Weggang des Ehemannes geflohen sei und sich ihre Kinder und die Schwiegereltern weiterhin zuhause aufhalten würden. Die geltend gemachten Vorfluchtgründe seien daher unglaubhaft. Das Vorliegen subjektiver Nachfluchtgründe sei nicht zu prüfen, da solche ohnehin nicht zur Einreisebewilligung führen könnten. Zur Möglichkeit des Verbleibs in Indien könne festgehalten werden, dass die Beschwerdeführerin in Nepal registriert und daraufhin auf legalem Weg nach Indien transferiert worden sei, wo sie von der tibetischen Exilregierung in Empfang genommen worden sei. Tibeter in Indien würden von der Exilregierung umfassend unterstützt und sofern die Beschwerdeführerin noch nicht über eine Aufenthaltsbewilligung in Indien verfüge, könne sie sich mit deren Hilfe um die Ausstellung bemühen. In Indien bestehe überdies ein effektiver Schutz vor Rückschiebungen nach China. Die Lebensbedingungen von tibetischen Flüchtlingen in Indien seien für nicht unzumutbar zu erachten, da Indien über ein gut ausgebautes Netz tibetischer Strukturen verfüge. Schliesslich müsste ein allfälliges Gesuch um Familienzusammenführung bei den kantonalen Behörden gestellt werden. Der Ehemann der Beschwerdeführerin verfüge mit seiner vorläufigen Aufnahme über keinen Anspruch auf Aufenthaltsbewilligung, wodurch sie sich nicht auf Art. 8 EMRK berufen könne. 5.3 In der Beschwerde wurde diesen Ausführungen entgegnet, die Identität sei mit den eingereichten Schreiben der Flüchtlingszentren in Nepal und Indien belegt. Die Beschwerdeführerin habe ihre Kinder nicht im Stich lassen wollen und sei deshalb erst nach zwei Jahren ausgereist. Ihre Kinder sowie die Schwiegereltern ständen aber auch nach der Ausreise der Beschwerdeführerin weiterhin unter behördlicher Beobachtung. Die Verfolgung der Beschwerdeführerin gründe in der illegalen Ausreise des Ehemannes, was vom BFM verkannt werde. In diesem Zusammenhang sei vom BFM der Sachverhalt ungenügend festgestellt worden, was eine Verletzung des Anspruchs auf rechtliches Gehör darstelle. Die Beschwerdeführerin habe zudem China illegal verlassen, wodurch sie zumindest die Flüchtlingseigenschaft erfülle. Das BFM berufe sich beim Argument, subjektive Nachfluchtgründe würden einer Einreiseerlaubnis entgegenstehen, auf Grundsätze, welche sich auf Personen beziehen würden, die infolge verwerflicher Handlungen vom Asyl ausgeschlossen seien, was im Falle der Beschwerdeführerin nicht zutreffe. Das BFM habe zu Unrecht die Beziehungsnähe zur Schweiz nicht in die Gesamtwürdigung einfliessen lassen. Tibetische Flüchtlinge würden in Indien in prekären Verhältnissen leben, was ebenfalls für die Einreiseerlaubnis in die Schweiz spreche. Ohnehin sei die Beschwerdeführerin in die Flüchtlingseigenschaft ihres Ehemannes einzubeziehen und ihr gestützt darauf die Einreise zu erlauben. Ein Anspruch auf Familiennachzug ergebe sich ebenfalls aus Art. 8 EMRK. 6.1 Vorliegend erweist sich, dass das BFM das Asyl- und Einreisegesuch zu Recht abgelehnt hat. Eingangs ist zu erwähnen, dass der Sachverhalt aufgrund der schriftlichen Gesuchseingabe, der persönlichen Stellungnahme sowie der Anhörung als erstellt erachtet werden kann, und der Antrag der Beschwerdeführerin auf Rückweisung der Sache zur Sachverhaltsergänzung daher abzuweisen ist. 6.2 Die Beschwerdeführerin brachte vor, seit der Ausreise ihres Ehemannes von Polizisten mehrfach nach dessen Aufenthalt befragt worden zu sein. Dabei habe man ihr und ihrer Familie negative Konsequenzen angedroht, sofern sie den Aufenthaltsort ihres Gatten nicht preisgebe. Wie bereits vom BFM ausgeführt, erscheinen diese Ausführungen als unglaubhaft. Zum einen ist nicht nachvollziehbar, wieso die Behörden trotz Weigerung der Beschwerdeführerin zur Kooperation keine weitergehenden Massnahmen ergriffen hätten, sondern es über zwei Jahre bei pauschal gehaltenen Drohungen belassen hätten. Zum anderen spricht der Umstand, dass die Beschwerdeführerin trotz Behelligungen seitens der Behörden noch zwei Jahre an ihrem Wohnort verblieben ist und ihre Kinder und Schwiegereltern nicht ebenfalls geflüchtet sind, gegen eine ersthafte Bedrohungslage. So seien gemäss eigenen Angaben gegen ihre Kinder und Schwiegereltern trotz ihrer Ausreise auch keine (gravierenden) Massnahmen ergriffen worden. Vielmehr ständen sie gemäss Beschwerdeschrift seither lediglich unter Beobachtung. Ohnehin wären die behördlichen Massnahmen für nicht asylrelevant zu erachten, zumal sie - sollten sie sich überhaupt ereignet haben - von zu geringer Intensität gewesen wären. So hätten die Polizisten über zwei Jahre hinweg trotz Weigerung der Beschwerdeführerin zur Auskunftserteilung und trotz Androhung nebst regelmässigen einschüchternden Befragungen keine weitergehenden Massnahmen gegen die Beschwerdeführerin, ihre Kinder oder ihre Schwiegereltern ergriffen. 6.3 Das auf Beschwerdeebene vorgebrachte Argument, selbst bei Verneinung der Vorfluchtgründe müsse die Einreise aufgrund der illegalen Ausreise aus China bewilligt werden, vermag nicht durchzudringen. Zu Recht weist das BFM darauf hin, dass Personen, welche - aufgrund subjektiver Nachfluchtgründe - vom Asyl ausgeschlossen sind, die Einreise nicht zu bewilligen ist. Gemäss Praxis des Bundesverwaltungsgerichts entspricht es nicht der gesetzlichen Logik, Personen, die sich im Ausland befinden, die Einreise in die Schweiz zu gewähren, um sie anschliessend - trotz allfälliger Anerkennung als Flüchtlinge - aus der Schweiz wegzuweisen. Aus diesem Grund ist die Einreise trotz allfälligen Bestehens der Flüchtlingseigenschaft und überwiegender Beziehungsnähe zur Schweiz nicht zu bewilligen, falls die einreisewillige Person vom Asyl auszuschliessen ist (vgl. BVGE 2012/26 E.7.1 S. 519). Ob sich dieser Ausschluss auf Art. 53 oder auf Art. 54 AsylG stützt, ist dabei - entgegen der Auffassung in der Beschwerdeschrift - nicht ausschlaggebend (vgl. dazu ebd. E.7.2 S. 520). Im Falle subjektiver Nachfluchtgründe kommt vielmehr der Frage entscheidende Bedeutung zu, ob bereits im Zeitpunkt der Ausreise eine asylrelevante Verfolgung vorlag, was unter Verweis auf die vorangehende Erwägung 6.2 zu verneinen ist. 6.4 Aufgrund der Feststellung, dass die Beschwerdeführerin - wenn überhaupt - bloss aufgrund subjektiver Nachfluchtgründe asylrelevant verfolgt wird, ist das Asyl- und Einreisegesuch unbesehen der Beziehungsnähe zur Schweiz und ohne Prüfung, inwiefern ein Verbleib in Indien zumutbar ist, abzuweisen (vgl. dazu BVGE 2012/26 E. 7.1 S. 520). 6.5 Hinsichtlich des Gesuchs um Familiennachzug hat das BFM die Beschwerdeführerin zu Recht darauf hingewiesen, dass ein solches Gesuch bei den kantonalen Behörden einzureichen und zunächst von dieser zu prüfen sei und es der Beschwerdeführerin unbenommen bleibe, entsprechend an die zuständige Behörde zu gelangen.</w:t>
      </w:r>
    </w:p>
    <w:p>
      <w:r>
        <w:rPr>
          <w:b/>
        </w:rPr>
        <w:t>E. 7</w:t>
      </w:r>
    </w:p>
    <w:p>
      <w:r>
        <w:t>Somit hat das BFM zu Recht das Asyl- und Einreisegesuch der Beschwerde­führerin abgelehnt.</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sind die Kosten der Beschwerdeführerin aufzuerlegen (Art. 63 Abs. 1 VwVG). Für deren Bezahlung ist der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