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D-6054/2011 vom 24. April 2012</w:t>
      </w:r>
    </w:p>
    <w:p>
      <w:r>
        <w:t>Bundesverwaltungsgericht, 2012-04-24, DE</w:t>
      </w:r>
    </w:p>
    <w:p>
      <w:r>
        <w:rPr>
          <w:b/>
        </w:rPr>
        <w:t xml:space="preserve">Quelle: </w:t>
      </w:r>
      <w:r>
        <w:t>https://mcp.opencaselaw.ch/entscheid/bvger_D-6054_2011</w:t>
      </w:r>
    </w:p>
    <w:p>
      <w:r>
        <w:t>FR: TAF D-6054/2011 du 24 avril 2012</w:t>
      </w:r>
    </w:p>
    <w:p>
      <w:r>
        <w:t>IT: TAF D-6054/2011 del 24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vorliegend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5.1 S. 128, vgl. auch die Zusammenfassung der Rechtsprechung im Urteil D-2018/2011 vom 14. Septem­ber 2011 E. 7.1).</w:t>
      </w:r>
    </w:p>
    <w:p>
      <w:r>
        <w:rPr>
          <w:b/>
        </w:rPr>
        <w:t>E. 5.1</w:t>
      </w:r>
    </w:p>
    <w:p>
      <w:r>
        <w:t>Aufgrund der Angaben der Beschwerdeführerin, wonach sie Eritrea wegen der drohenden Einberufung in den Militärdienst verlassen habe und nach ihrer zwangsweisen Rückführung nach Eritrea im Juni 2008 unmittelbar nach ihrer Ankunft inhaftiert worden sei, ist mit Blick auf die drastischen staatlichen Sanktionen der eritreischen Behörden gegenüber Personen, die ihre Dienstpflicht verletzt haben (vgl. Entscheidungen und Mitteilungen der Schweizerischen Asylrekurskommission [EMARK] 2006 Nr. 3 E. 4.6 - 4.10 S. 35 ff.), übereinstimmend mit der Vorinstanz davon auszugehen, dass ihre diesbezüglichen Vorbringen im Sinne von Art. 3 Abs. 2 AsylG asylrechtlich relevant sind. Angesichts dessen erweist sich der auf Beschwerdeebene erhobene Vorwurf, das BFM habe in seinem Entscheid ihren Fluchtgründen in Bezug auf ihren Heimatstaat keine Rechnung getragen, als nicht stichhaltig. Soweit sich Asylsuchende in einem Drittstaat aufhalten und dort gar als Flüchtlinge anerkannt sind, stellt sich indessen vorgängig einer allfälligen Einreisebewilligung in die Schweiz zwecks Durchführung eines ordentlichen Asylverfahrens die weitere, nachfolgend zu beantwortende Frage, ob es ihnen zugemutet werden kann, sich in einem anderen Drittstaat um Aufnahme zu bemühen (Art. 20 Abs. 2 und Art. 52 Abs. 2 AsylG).</w:t>
      </w:r>
    </w:p>
    <w:p>
      <w:r>
        <w:rPr>
          <w:b/>
        </w:rPr>
        <w:t>E. 5.2</w:t>
      </w:r>
    </w:p>
    <w:p>
      <w:r>
        <w:t>Diesbezüglich ergibt die Überprüfung der Akten, dass sich die entsprechenden Erwägungen in der angefochtenen Verfügung (vgl. Sachverhalt Bst. G) als zutreffend erweisen. Die Beschwerdeführerin ist im Herbst 2008 ein zweites Mal in den Sudan eingereist und dort vom UNHCR als Flüchtling registriert worden. Das BFM hat in seiner Verfügung vom 12. September 2011 richtigerweise festgehalten, zufolge der hohen Anzahl von eritreischen Flüchtlingen im Sudan sei deren dortige Lage nicht einfach. Dennoch bestünden keine konkreten Anhaltspunkte zur Annahme, dass ein weiterer Verbleib im Sudan für die Beschwerdeführerin nicht zumutbar oder möglich wäre. Ergänzend bleibt anzufügen, dass es ist im Sudan tatsächlich in vereinzelten Fällen zu Entführungen von eritreischen Flüchtlingen beziehungsweise zu Deportationen von eritreischen Flüchtlingen nach Eritrea gekommen ist. Nichtsdestotrotz ist gemäss gesicherten Erkenntnissen das Risiko einer Deportation oder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Urteile E-4417/2011 vom 9. Februar 2012 E. 6.5.3, D-5745/2011 vom 10. Januar 2012 E. 6.1). Soweit die Beschwerdeführerin geltend macht, sie habe in Khartum grosse wirtschaftliche Schwierigkeiten gehabt, weil sie dort keine Arbeit gefunden habe, ist darauf hinzuweisen, dass sie im Sudan einem Flüchtlingslager zugewiesen worden ist, es den Akten zufolge aber vorgezogen hat, sich in Khartum ausserhalb des Flüchtlingslagers aufzuhalten. Es ist ihr jedoch grundsätzlich zuzumuten, sich in das ihr zugewiesene Flüchtlingslager zurückzubegeben, wo sie aufgrund ihrer Registrierung als Flüchtling durch den UNHCR wohl auch ohne Weiteres in den Besitz eines Flüchtlingsausweises gelangen könnte. Im vorliegenden Fall tritt hinzu, dass keinerlei Anhaltspunkte für eine besondere Beziehungsnähe der Beschwerdeführerin zur Schweiz bestehen. Eine Abwägung der Gesamtumstände im Sinne von Art. 52 Abs. 2 AsylG führt somit zum Schluss, dass der Beschwerdeführerin und ihrem Sohn der Verbleib im Sudan zuzumuten ist.</w:t>
      </w:r>
    </w:p>
    <w:p>
      <w:r>
        <w:rPr>
          <w:b/>
        </w:rPr>
        <w:t>E. 5.3</w:t>
      </w:r>
    </w:p>
    <w:p>
      <w:r>
        <w:t>Zusammenfassend ergibt sich, dass die angefochtene Verfügung Bundesrecht nicht verletzt, den rechtserheblichen Sachverhalt richtig und vollständig feststellt und angemessen ist (Art. 106 Abs. 1 AsylG). Das BFM hat das Asylgesuch der Beschwerdeführerin aus dem Ausland zu Recht abgelehnt und ihr die Einreise in die Schweiz verweigert. Die Beschwerde ist deshalb abzuweisen.</w:t>
      </w:r>
    </w:p>
    <w:p>
      <w:r>
        <w:rPr>
          <w:b/>
        </w:rPr>
        <w:t>E. 6</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