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D-6041/2015 vom 25. Februar 2016</w:t>
      </w:r>
    </w:p>
    <w:p>
      <w:r>
        <w:t>Bundesverwaltungsgericht, 2016-02-25, DE</w:t>
      </w:r>
    </w:p>
    <w:p>
      <w:r>
        <w:rPr>
          <w:b/>
        </w:rPr>
        <w:t xml:space="preserve">Quelle: </w:t>
      </w:r>
      <w:r>
        <w:t>https://mcp.opencaselaw.ch/entscheid/bvger_D-6041_2015</w:t>
      </w:r>
    </w:p>
    <w:p>
      <w:r>
        <w:t>FR: TAF D-6041/2015 du 25 février 2016</w:t>
      </w:r>
    </w:p>
    <w:p>
      <w:r>
        <w:t>IT: TAF D-6041/2015 del 25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SEM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5</w:t>
      </w:r>
    </w:p>
    <w:p>
      <w:r>
        <w:t>Nachfolgend ist zu prüfen, ob das SEM das Asylgesuch des Beschwerdeführers zu Recht abgelehnt hat.</w:t>
      </w:r>
    </w:p>
    <w:p>
      <w:r>
        <w:rPr>
          <w:b/>
        </w:rPr>
        <w:t>E. 5.1.1</w:t>
      </w:r>
    </w:p>
    <w:p>
      <w:r>
        <w:t>Der Beschwerdeführer rügt, das SEM habe den Anspruch auf Akteneinsicht und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Kölz/Häner/Bertschi, Verwaltungsverfahren und Verwaltungsrechtspflege des Bundes; 3. Aufl., Zürich 2013, Rz. 1043 ff. m.w.H.).</w:t>
      </w:r>
    </w:p>
    <w:p>
      <w:r>
        <w:rPr>
          <w:b/>
        </w:rPr>
        <w:t>E. 5.1.2</w:t>
      </w:r>
    </w:p>
    <w:p>
      <w:r>
        <w:t>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zu äussern und Gegenbeweismittel zu bezeichnen. Das Geheimhaltungsinteresse ist etwa hochwertig, wenn es um den Schutz ausländischer Informanten und Kontaktpersonen geht, die entweder von Seiten der ausländischen Behörden oder aber von politischen Gruppierungen, denen der Asylsuchende nahe steht, Repressionen wegen der Zusammenarbeit mit schweizerischen Behörden zu befürchten haben. Schützenswert sind auch Angaben über Art und Methoden der Informationsbeschaffung der schweizerischen Behörden und ihrer Auslandvertretungen (WALTER KÄLIN, Grundriss des Asylverfahrens, Basel/Frankfurt a. M. 1990, S. 269). Einen genügenden Verweigerungsgrund stellt auch dar, wenn bei vollständiger Offenlegung aller Einzelheiten von behördlichen Erkenntnissen, die auf dem Wege der Abklärung vor Ort gewonnen werden, die Gefahr missbräuchlicher Weiterverwendung besteht (vgl. EMARK 2004 Nr. 28 E. 7a S. 183; EMARK 1994 Nr. 1 E. 4c S. 12; EMARK 1994 Nr. 26 E. 2dd S. 194).</w:t>
      </w:r>
    </w:p>
    <w:p>
      <w:r>
        <w:rPr>
          <w:b/>
        </w:rPr>
        <w:t>E. 5.1.3</w:t>
      </w:r>
    </w:p>
    <w:p>
      <w:r>
        <w:t>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5.1.4</w:t>
      </w:r>
    </w:p>
    <w:p>
      <w:r>
        <w:t>Nach dem Gesagten ergibt sich einerseits, dass der Antrag des Beschwerdeführers auf vollständige Einsicht in die Ergebnisse der Botschaftsanfrage abzuweisen ist. Anderseits ist auch eine Verletzung des Anspruches auf rechtliches Gehör zu verneinen. Die Vorinstanz hat dem Beschwerdeführer den Inhalt der Botschaftsabklärung zwar nicht wörtlich, aber zusammengefasst zur Kenntnis gebracht (vgl. Act. A 18). Das Staatssekretariat hat in der angefochtenen Verfügung nur auf Umstände abgestellt, welche dem Beschwerdeführer bekannt gegeben wurden. Insofern kann offen bleiben, ob es vorliegend nicht vorzuziehen gewesen wäre, dem Beschwerdeführer den Abklärungsbericht wörtlich beziehungsweise vollständig zu übermitteln, selbstverständlich ohne Angabe des Verfassers. Im Hinblick auf die Verweigerung der Einsichtnahme in die Botschaftsabklärung ist eine Verletzung des Gehörsanspruches zu verneinen.</w:t>
      </w:r>
    </w:p>
    <w:p>
      <w:r>
        <w:rPr>
          <w:b/>
        </w:rPr>
        <w:t>E. 5.1.5</w:t>
      </w:r>
    </w:p>
    <w:p>
      <w:r>
        <w:t>Nicht zu beanstanden ist die Begründungsdichte, mit welcher die Vorinstanz dargelegt hat, dass der eingereichte Arztbericht nicht geeignet sei, die geltend gemachten Misshandlungen zu belegen. Der Arztbericht vermag lediglich zu belegen, dass sich der Beschwerdeführer wegen Atembeschwerden einer Septorhinoplastik hat unterziehen müssen. Inwiefern diese Tatsache geeignet sein soll, die geltend gemachten Misshandlungen zu belegen, wird aus der Beschwerdeeingabe nicht ersichtlich, zumal die Ursachen, welche eine solche bedingen, unterschiedlich sein können (vgl. http://www.hno-zentrum-muensterland.de/septumplastik.html, zuletzt besucht am 19. Februar 2016). Eine tiefergehende Auseinandersetzung mit dem Arztbericht war vorliegend nicht notwendig, die Rüge der Verletzung der Begründungspflicht gemäss Art. 35 Abs. 1 VwVG erweist sich als unbegründet.</w:t>
      </w:r>
    </w:p>
    <w:p>
      <w:r>
        <w:rPr>
          <w:b/>
        </w:rPr>
        <w:t>E. 5.1.6</w:t>
      </w:r>
    </w:p>
    <w:p>
      <w:r>
        <w:t>Aus den vorangehenden Erwägungen geht hervor, dass die vorin­stanzliche Verfügung in formeller Hinsicht keinen Anlass zu Beanstandungen gibt.</w:t>
      </w:r>
    </w:p>
    <w:p>
      <w:r>
        <w:rPr>
          <w:b/>
        </w:rPr>
        <w:t>E. 5.2</w:t>
      </w:r>
    </w:p>
    <w:p>
      <w:r>
        <w:t>Als nächstes ist zu prüfen, wie es sich mit der von der Vorinstanz verneinten Glaubhaftigkeit der asylrelevanten Vorbringen verhält.</w:t>
      </w:r>
    </w:p>
    <w:p>
      <w:r>
        <w:rPr>
          <w:b/>
        </w:rPr>
        <w:t>E. 5.2.1</w:t>
      </w:r>
    </w:p>
    <w:p>
      <w:r>
        <w:t>Vorab ist festzuhalten, dass der Beschwerdeführer dem ihm in den wesentlichen Punkten inhaltlich zur Kenntnis gebrachten Abklärungsergebnis der Botschaftsabklärung nichts entgegenzuhalten gewusst hat, was sich zu seinen Gunsten ausgewirkt hätte. Weshalb "bestimmte Gerichte in B._______" sechs bzw. sieben Jahre nach der Systemumstellung noch im alten System arbeiten sollen, ist nicht nachvollziehbar, sodass auch nicht ersichtlich ist, weshalb eine entsprechende Präzisierung vorliegend angezeigt gewesen wäre. Ferner ändert auch der Umstand, dass dem Beschwerdeführer die Jahre, mit welchen die beanstandeten Fallnummern übereinstimmen, nicht bekannt gegeben wurden, nichts daran, dass es sich um ein weiteres Fälschungsmerkmal handelt, welches er nicht zu entkräften wusste. Dasselbe gilt auch für die aufgeführten Paragraphen, welche sich auf andere als die angegebenen Straftaten beziehen. Das Gericht sieht es somit als erstellt an, dass der Beschwerdeführer ein gefälschtes Beweismittel zu den Akten gereicht hat, um seine Asylvorbringen zu belegen, was sich schwerwiegend nachteilig auf deren Glaubhaftigkeit auswirkt (vgl. Art. 7 AsylG). Als ebenfalls zutreffend erweist sich die Einschätzung der Vorinstanz, wonach der Beschwerdeführer unterschiedliche Gründe für seine Freilassung aus der angeblichen Haft angab (vgl. Act. A5, S. 6 und Act. A7, S. 6). Zwar trifft es zu, dass sich diese nicht per se widersprechen und es durchaus denkbar wäre, dass er - nachdem es ihm schlecht ging - an Bedingungen gekoppelt aus der Haft entlassen worden wäre. Trotzdem ist nicht nachvollziehbar, weshalb diese anlässlich der BzP, an welcher er einigermassen detailliert berichtete, gänzlich unerwähnt geblieben sind. Schliesslich kann auch der Einwand, der Beschwerdeführer habe im Zusammenhang mit der an die Demonstration anschliessende Haft irrtümlich das Jahr 2008 anstatt 2009 angeben, nicht nur deshalb nicht geglaubt werden, weil er an den Befragungen übereinstimmend dieselbe Jahreszahl angegeben hat, sondern auch weil im eingereichten Urteil auf das Jahr 2008 Bezug genommen wird. Der Umstand, dass er seine Asylvorbringen anlässlich der Befragungen detailliert vorgebracht hat, vermögen die Zweifel an deren Glaubhaftigkeit nicht aufzuwiegen.</w:t>
      </w:r>
    </w:p>
    <w:p>
      <w:r>
        <w:rPr>
          <w:b/>
        </w:rPr>
        <w:t>E. 5.2.2</w:t>
      </w:r>
    </w:p>
    <w:p>
      <w:r>
        <w:t>Aus den dargelegten Gründen hat die Vorinstanz zu Recht die Unglaubhaftigkeit der Asylvorbringen konstatiert.</w:t>
      </w:r>
    </w:p>
    <w:p>
      <w:r>
        <w:rPr>
          <w:b/>
        </w:rPr>
        <w:t>E. 5.3</w:t>
      </w:r>
    </w:p>
    <w:p>
      <w:r>
        <w:t>Angesichts der Unglaubhaftigkeit der Asylvorbringen erübrigt sich die Prüfung deren Asylrelevanz.</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Sofern sich der Beschwerdeführer bei der Geltendmachung von Wegweisungsvollzugshindernissen auf das gefälschte Urteil bezieht, kann auf die vorstehenden Erwägungen verwiesen werden (vgl. E. 5.1 f.).</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aus den Akten keine objektiven Anhaltspunkte dafür, dass er für den Fall einer Ausschaffung in den Iran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Der Vollzug der Wegweisung in den Iran ist aufgrund der aktuellen Situation generell zumutbar. Zudem verfügt der Beschwerdeführer über eine solide Ausbildung und hatte sogar ein eigenes Unternehmen, welches zwischenzeitlich von seinem Bruder geführt wird (vgl. Act. A5, S. 2) und bei welchem er vermutungsweise wieder wird einsteigen können. Begünstigend kommt hinzu, dass er über ein breites familiäres Beziehungsnetz verfügt, welches ihm bei einer Rückkehr in den Iran behilflich sein kann (vgl. Act. A5, S. 3).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