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D-6033/2024 vom 14. Oktober 2024</w:t>
      </w:r>
    </w:p>
    <w:p>
      <w:r>
        <w:t>Bundesverwaltungsgericht, 2024-10-14, FR</w:t>
      </w:r>
    </w:p>
    <w:p>
      <w:r>
        <w:rPr>
          <w:b/>
        </w:rPr>
        <w:t xml:space="preserve">Quelle: </w:t>
      </w:r>
      <w:r>
        <w:t>https://mcp.opencaselaw.ch/entscheid/bvger_D-6033_2024</w:t>
      </w:r>
    </w:p>
    <w:p>
      <w:r>
        <w:t>FR: TAF D-6033/2024 du 14 octobre 2024</w:t>
      </w:r>
    </w:p>
    <w:p>
      <w:r>
        <w:t>IT: TAF D-6033/2024 del 14 ottobre 2024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Il est renoncé à la perception de frais de procédure.</w:t>
      </w:r>
    </w:p>
    <w:p>
      <w:r>
        <w:rPr>
          <w:b/>
        </w:rPr>
        <w:t>E. 4</w:t>
      </w:r>
    </w:p>
    <w:p>
      <w:r>
        <w:t>Le présent arrêt est adressé au recourant et au SEM. La présidente du collège : Le greffier : Chrystel Tornare Villanueva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