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D-6029/2011 vom 23. Dezember 2011</w:t>
      </w:r>
    </w:p>
    <w:p>
      <w:r>
        <w:t>Bundesverwaltungsgericht, 2011-12-23, DE</w:t>
      </w:r>
    </w:p>
    <w:p>
      <w:r>
        <w:rPr>
          <w:b/>
        </w:rPr>
        <w:t xml:space="preserve">Quelle: </w:t>
      </w:r>
      <w:r>
        <w:t>https://mcp.opencaselaw.ch/entscheid/bvger_D-6029_2011</w:t>
      </w:r>
    </w:p>
    <w:p>
      <w:r>
        <w:t>FR: TAF D-6029/2011 du 23 décembre 2011</w:t>
      </w:r>
    </w:p>
    <w:p>
      <w:r>
        <w:t>IT: TAF D-6029/2011 del 23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Aufgrund des persönlichen und sachlichen Zusammenhanges sowie aus prozessökonomischen Gründen sind die Beschwerdeverfahren bezüglich des Beschwerdeführers 1 (Vater) und des Beschwerdeführers 2 (Sohn) zu vereinigen, weshalb vorliegend über beide Beschwerden in einem Urteil zu befinden ist.</w:t>
      </w:r>
    </w:p>
    <w:p>
      <w:r>
        <w:rPr>
          <w:b/>
        </w:rPr>
        <w:t>E. 1.4</w:t>
      </w:r>
    </w:p>
    <w:p>
      <w:r>
        <w:t>Die Beschwerden sind frist- und formgerecht eingereicht (Art. 108 Abs. 1 AsylG, Art. 105 AsylG i.V.m. Art. 37 VGG und Art. 52 VwVG). Die Beschwerdeführer haben am Verfahren vor der Vorinstanz teilgenommen, sind durch die angefochtenen Verfügungen besonders berührt und haben ein schutzwürdiges Interesse an deren Aufhebung beziehungsweise Änderung, weshalb sie zur Einreichung der Beschwerden legitimiert sind (Art. 105 AsylG i.V.m. Art. 37 VGG und Art. 48 Abs. 1 VwVG). Auf die Beschwerden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solche, weshalb der Beschwerdeentscheid nur summarisch zu begründen ist (Art. 111a Abs. 2 AsylG). Gestützt auf Art. 111a Abs. 1 AsylG wurde vorliegend auf die Durch­führung eines Schriftenwechsels verzichtet.</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darauf hinzuweisen, dass die Beschwerdeführer den Wortlaut sämtlicher Protokolle mit ihrer Unterschrift bestätigt haben und sich deshalb ihre Aussagen grundsätzlich entgegenhalten lassen müssen, zumal sie die übersetzenden Personen bei beiden Befragungen (gut) verstanden haben wollen (vgl. Akten BFM A 1/12 S. 10, A 2/9 S. 7, A 7/20 S. 18, A 9/10 S. 8).</w:t>
      </w:r>
    </w:p>
    <w:p>
      <w:r>
        <w:rPr>
          <w:b/>
        </w:rPr>
        <w:t>E. 5.2</w:t>
      </w:r>
    </w:p>
    <w:p>
      <w:r>
        <w:t>Nach Prüfung der Akten durch das Gericht ist - in Übereinstimmung mit der Vorinstanz - festzustellen, dass die Asylvorbringen der Beschwerdeführer den Anforderungen an die Glaubhaftigkeit gemäss Art. 7 AsylG nicht standzuhalten vermögen, weshalb diesbezüglich vorab auf die ausführlichen und zutreffenden vorinstanzlichen Erwägungen zu verweisen ist (vgl. die Ziffern I, Bst. D.b und D.c vorstehend). Die Vorbringen in den Rechtsmittelschriften sind nicht geeignet, eine Änderung der vorinstanzlichen Verfügungen zu bewirken. Den Erwägungen des BFM werden keine stichhaltigen und substanziierten Gründe entgegengesetzt. Insbesondere ist der Einwand, die angefochtene Verfügung reite "auf vollkommen unwesentlichen Kleinigkeiten" herum, unbegründet, da sich der Beschwerdeführer 1 in den Befragungen in wesentlichen Punkten seiner Schilderungen widersprüchlich äusserte. Die Behauptung, wonach der Beschwerdeführer 1 die ihm vorgehaltenen Widersprüche habe auflösen können, trifft nicht zu. Die mit den Beschwerden eingereichten Beweismittel sind nicht geeignet, den von den Beschwerdeführern geltend gemachten Sachverhalt in einem glaubhafteren Licht erscheinen zu lassen beziehungsweise ihre Asylvorträge zu stützen, zumal weder das Durchsuchungsprotokoll vom 6. November 2007 noch der Auszug aus dem Gerichtsbeschluss vom 24. Januar 2008 von der zuständigen russischen Behörde beglaubigt worden sind, weshalb Zweifel an der Authentizität dieser Dokumente bestehen. Im Weiteren ist festzustellen, dass laut dem Durchsuchungsprotokoll vom 6. November 2007 ein Gewehr beschlagnahmt wurde, der Beschwerdeführer 1 aber immer von einer Pistole sprach, was die Echtheit dieses Dokuments zusätzlich als zweifelhaft erscheinen lässt. Da die geltend gemachten Asylvorbringen nicht glaubhaft sind, kann vorliegend darauf verzichtet werden, deren Asylrelevanz zu prüfen.</w:t>
      </w:r>
    </w:p>
    <w:p>
      <w:r>
        <w:rPr>
          <w:b/>
        </w:rPr>
        <w:t>E. 5.3</w:t>
      </w:r>
    </w:p>
    <w:p>
      <w:r>
        <w:t>Zusammenfassend ist festzustellen, dass es den Beschwerdeführern nicht gelungen ist nachzuweisen, oder zumindest glaubhaft zu machen, dass sie in der Heimat ernsthafte Nachteile gemäss Art. 3 AsylG erlitten haben oder solche bei der Ausreise zu befürchten hatten oder im Falle einer Rückkehr nach Russland befürchten müssten. Die Beschwerdeführer vermögen mit ihren Beschwerdevorbringen und den eingereichten Beweismitteln zu keiner anderen Betrachtungsweise zu führen, weshalb es sich erübrigt, weiter darauf einzugehen. Das BFM hat demnach zu Recht die Flüchtlingseigenschaft der Beschwerdeführer verneint und deren Asylgesuche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 verfügen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den Heimatstaat ist demnach unter dem Aspekt von Art. 5 AsylG rechtmässig. Sodann ergeben sich weder aus den Aussagen der Beschwerdeführer noch aus den Akten Anhaltspunkte dafür, dass sie für den Fall einer Aus­schaffung in den Heimat- oder Herkunftsstaat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nach den vorstehenden Erwägungen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Weder die allgemeine Lage in Russland noch die persönliche Situation der Beschwerdeführer lassen im Falle einer Rückkehr auf eine konkrete Gefährdung schliessen. Sodann bestehen auch keine anderen Hinweise, dass die - soweit aktenkundig - gesunden Beschwerdeführer bei einer Rückkehr in den Heimatstaat in eine konkrete, ihre Existenz bedrohende Situation geraten könnten. Die Beschwerdeführer haben in ihrer Heimat ein soziales Beziehungsnetz, leben doch unter anderem die Halbschwestern des Beschwerdeführers 1 sowie die Mutter des Beschwerdeführers 2 nach wie vor in Russland (A 1/12 S. 3, A 2/9 S. 2). Zudem verfügt der Beschwerdeführer 1 über eine gute Ausbildung ([...]) sowie jahrelange Berufserfahrung, weswegen anzunehmen ist, er könne sich in seiner Heimat wieder wirtschaftlich integrieren und für sich und seinen Sohn sorgen. Blosse soziale und wirtschaftliche Schwierigkeiten, von denen die ansässige Bevölkerung im Allgemeinen betroffen ist, genügen nicht, um eine Gefahr im Sinne von Art. 83 Abs. 4 AuG darzustellen (vgl. BVGE 2008/34 E. 11.2.2). Angesichts der gesamten Umstände kann der Vollzug der Wegweisung daher auch als zumutbar bezeichnet werden.</w:t>
      </w:r>
    </w:p>
    <w:p>
      <w:r>
        <w:rPr>
          <w:b/>
        </w:rPr>
        <w:t>E. 7.4</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angefochtenen Verfügungen Bundesrecht nicht verletzen, den rechtserheblichen Sachverhalt richtig und vollständig feststellt und angemessen sind (Art. 106 AsylG). Die Beschwerden sind nach dem Gesagten abzuweisen.</w:t>
      </w:r>
    </w:p>
    <w:p>
      <w:r>
        <w:rPr>
          <w:b/>
        </w:rPr>
        <w:t>E. 10</w:t>
      </w:r>
    </w:p>
    <w:p>
      <w:r>
        <w:t>Bei diesem Ausgang des Verfahrens sind die Kosten den Beschwerdeführern aufzuerlegen (Art. 63 Abs. 1 und 5 VwVG), auf insgesamt Fr. 1'200.-- festzusetzen (Art. 1-3 des Reglements vom 21. Februar 2008 über die Kosten und Entschädigungen vor dem Bundesverwaltungsgericht [VGKE, SR 173.320.2]) und mit den am 3. Dezember 2011 in derselben Höhe geleisteten Kostenvorschüssen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