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D-6029/2010 vom 31. August 2010</w:t>
      </w:r>
    </w:p>
    <w:p>
      <w:r>
        <w:t>Bundesverwaltungsgericht, 2010-08-31, DE</w:t>
      </w:r>
    </w:p>
    <w:p>
      <w:r>
        <w:rPr>
          <w:b/>
        </w:rPr>
        <w:t xml:space="preserve">Quelle: </w:t>
      </w:r>
      <w:r>
        <w:t>https://mcp.opencaselaw.ch/entscheid/bvger_D-6029_2010</w:t>
      </w:r>
    </w:p>
    <w:p>
      <w:r>
        <w:t>FR: TAF D-6029/2010 du 31 août 2010</w:t>
      </w:r>
    </w:p>
    <w:p>
      <w:r>
        <w:t>IT: TAF D-6029/2010 del 31 agosto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nachfolgenden Erwägung - einzutreten.</w:t>
      </w:r>
    </w:p>
    <w:p>
      <w:r>
        <w:rPr>
          <w:b/>
        </w:rPr>
        <w:t>E. 1.4</w:t>
      </w:r>
    </w:p>
    <w:p>
      <w:r>
        <w:t>Da es im vorliegenden Verfahren lediglich darum geht, die Voraussetzungen einer Rückführung des Beschwerdeführers nach Litauen (Drittstaat) im Rahmen der Dublin-II-Verordnung zu prüfen, ist auf die Rechtsbegehren betreffend Flüchtlingseigenschaft, Asyl, Kontaktaufnahme mit den Behörden des Heimat- oder Herkunftsstaats und Datenweitergabe an diese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Litauen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und habe am 19. Juli 2010 einer Übernahme des Beschwerdeführers gestützt auf Art. 16 Abs. 1 Bst. c Dublin-II-Verordnung zugestimmt. Die Rückführung habe - vorbehältlich einer allfälligen Unterbrechung oder Verlängerung (Art. 19 f. Dublin-II-Verordnung) - bis spätestens am 19. Januar 2011 zu erfolgen. Die anlässlich der Gewährung des rechtlichen Gehörs gemachten Aussagen seien nicht geeignet, die Frage der Zuständigkeit Litauens zu verneinen und eine Rückführung dorthin zu verhindern. Litauen sei staatsvertraglich für die Prüfung des Asyl- und Wegweisungsverfahrens zuständig. Aus den Akten ergäben sich keine konkreten Hinweise, wonach sich dieser Staat nicht an die massgebenden völkerrechtlichen Bestimmungen oder die einschlägigen Normen der Konvention vom 4. November 1950 zum Schutze der Menschenrechte und Grundfreiheiten (EMRK, SR 0.101) halten würde. Auf das Asylgesuch sei somit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EMRK im Falle einer Rückkehr des Beschwerdeführers nach Litauen. Weder die in Litauen herrschende Situation noch andere Gründe sprächen gegen die Zumutbarkeit der Wegweisung in diesen Staat. Ausserdem sei der Vollzug der Wegweisung technisch möglich und praktisch durchführbar. Eine entsprechende Zustimmung Litauens liege vor. Schliesslich hätten Beschwerden gegen Nichteintretensentscheide gemäss Art. 34 Abs. 2 Bst. d AsylG gestützt auf Art. 107a AsylG keine aufschiebende Wirkung.</w:t>
      </w:r>
    </w:p>
    <w:p>
      <w:r>
        <w:rPr>
          <w:b/>
        </w:rPr>
        <w:t>E. 5.3</w:t>
      </w:r>
    </w:p>
    <w:p>
      <w:r>
        <w:t>In der Rechtsmitteleingabe machte der Beschwerdeführer als Begründung insbesondere geltend, er wolle in der Schweiz bleiben. In Litauen gebe es nichts Gutes. Er erhalte dort keine medizinische Behandlung und das Asylverfahren sei für Hindus sehr schwierig. Bei einer Wegweisung nach Litauen befürchte er, nach Indien zurückgeschickt zu werden. Dies wolle er nicht, da sein Leben im Heimatland in Gefahr sei.</w:t>
      </w:r>
    </w:p>
    <w:p>
      <w:r>
        <w:rPr>
          <w:b/>
        </w:rPr>
        <w:t>E. 5.4.1</w:t>
      </w:r>
    </w:p>
    <w:p>
      <w:r>
        <w:t>Aus den Angaben des Beschwerdeführers ergibt sich, dass er sich im Januar 2009 mit einem litauischen Schengen-Visum nach Litauen begab, wo er sich vier Tage lang aufhielt. Von Oktober 2009 bis April 2010 will er erneut in Litauen gewesen sein. Ausserdem stimmten die litauischen Behörden mit Schreiben vom 19. Juli 2010 einer Übernahme des Beschwerdeführers zu. Der Beschwerdeführer kann somit ohne Weiteres in den Dublin-Staat (Litauen) ausreisen, welcher für die Prüfung seines Asylantrags staatsvertraglich zuständig ist.</w:t>
      </w:r>
    </w:p>
    <w:p>
      <w:r>
        <w:rPr>
          <w:b/>
        </w:rPr>
        <w:t>E. 5.4.2</w:t>
      </w:r>
    </w:p>
    <w:p>
      <w:r>
        <w:t>Dem Vorbringen des Beschwerdeführers, er wolle nicht nach Litauen zurückgeführt werden, da es dort nichts Gutes gebe, ist entgegenzuhalten, dass Litauen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Litauen sich nicht an die daraus resultierenden massgebenden völkerrechtlichen Bestimmungen, insbesondere an das Rückschiebungsverbot oder die einschlägigen Normen der EMRK, halten würde. Demzufolge ist - entgegen anderslautender Einschätzung in der Rechtsmitteleingabe - nicht davon auszugehen, dass die litauischen Behörden den Beschwerdeführer direkt nach Indien überstellen würden, ohne zuvor sein Asylgesuch zu prüfen. Darüber hinaus stellt der Umstand, in Litauen allenfalls medizinisch schlechter versorgt zu sein als in der Schweiz, kein Wegweisungsvollzugshindernis dar. Unbesehen der Glaubhaftigkeit seiner Vorbringen zum Gesundheitszustand steht es dem Beschwerdeführer bei eventuell auftretenden Problemen offen, sich an das dafür zuständige medizinische Personal zu wenden. Schliesslich vermag er auch aus dem Einwand, wonach man im Gefängnis geschlagen werde, nichts zu seinen Gunsten abzuleiten. Sollte er in Litauen inhaftiert werden, ist es ihm - unbesehen der Glaubhaftigkeit des dort angeblich bereits verbrachten Gefängnisaufenthalts - unbenommen, bei allfälligen Übergriffen seitens Dritter um behördlichen Schutz nachzusuchen. Angesichts der gesamten Umstände erweist sich der Vollzug der Wegweisung nach Litauen in Berücksichtigung der entscheidrelevanten Aspekte unter dem Blickwinkel von Art. 3 EMRK als zulässig, weshalb vorliegend kein Anlass zum Selbsteintritt besteht.</w:t>
      </w:r>
    </w:p>
    <w:p>
      <w:r>
        <w:rPr>
          <w:b/>
        </w:rPr>
        <w:t>E. 6</w:t>
      </w:r>
    </w:p>
    <w:p>
      <w:r>
        <w:t>Das BFM ist in Anwendung von Art. 34 Abs. 2 Bst. d AsylG demnach zu Recht auf das Asylgesuch des Beschwerdeführers nicht eingetreten. Das Rechtsbegehren, die angefochtene Verfügung sei aufzuheben, und die sinngemässen Anträge, das BFM sei anzuweisen, sein Recht zum Selbsteintritt auszuüben und sich für das vorliegende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Aufgrund vorstehender Erwägungen erweist sich die Beschwerde als aussichtslos, weshalb das Gesuch um Gewährung der unentgeltlichen Rechtspflege im Sinne von Art. 65 Abs. 1 VwVG unbesehen der durch die Fürsorgebestätigung vom 23. August 2010 ausgewiesenen Bedürftigkeit des Beschwerdeführers abzuweisen ist. Das Gesuch um Beiordnung einer amtlichen Rechtsvertretung im Sinne von Art. 65 Abs. 2 VwVG ist mangels Erfüllung der Voraussetzungen von Art. 65 Abs. 1 VwVG ebenfalls abzuweisen.</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