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D-6026/2024 vom 26. August 2024</w:t>
      </w:r>
    </w:p>
    <w:p>
      <w:r>
        <w:t>Bundesverwaltungsgericht, 2024-08-26, DE</w:t>
      </w:r>
    </w:p>
    <w:p>
      <w:r>
        <w:rPr>
          <w:b/>
        </w:rPr>
        <w:t xml:space="preserve">Quelle: </w:t>
      </w:r>
      <w:r>
        <w:t>https://mcp.opencaselaw.ch/entscheid/bvger_D-6026_2024_d20240826</w:t>
      </w:r>
    </w:p>
    <w:p>
      <w:r>
        <w:t>FR: TAF D-6026/2024 du 26 août 2024</w:t>
      </w:r>
    </w:p>
    <w:p>
      <w:r>
        <w:t>IT: TAF D-6026/2024 del 26 agosto 2024</w:t>
      </w:r>
    </w:p>
    <w:p>
      <w:pPr>
        <w:pStyle w:val="Heading2"/>
      </w:pPr>
      <w:r>
        <w:t>Regeste</w:t>
      </w:r>
    </w:p>
    <w:p>
      <w:r>
        <w:t>Asyl und Wegweisung | Asyl und Wegweisung; Verfügung des SEM vom 26. August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t>D-6026/2024 Seite 4</w:t>
      </w:r>
    </w:p>
    <w:p>
      <w:r>
        <w:rPr>
          <w:b/>
        </w:rPr>
        <w:t>E. 3</w:t>
      </w:r>
    </w:p>
    <w:p>
      <w:r>
        <w:t>Aufgrund des engen sachlichen Zusammenhangs wird das vorliegende Verfahren mit den ebenfalls am Bundesverwaltungsgericht anhängig ge- machten Verfahren der Mutter (B._______, D-5986/2024) und der Schwes- ter des Beschwerdeführers (C._______, D-5988/2024) zeitlich koordiniert und vom gleichen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die Flüchtlingseigenschaft geltend macht, muss sie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w:t>
      </w:r>
    </w:p>
    <w:p>
      <w:r>
        <w:t>D-6026/2024 Seite 5 Tatsachen nicht entsprechen oder massgeblich auf gefälschte oder ver- fälschte Beweismittel abgestützt werden (Art. 7 AsylG).</w:t>
      </w:r>
    </w:p>
    <w:p>
      <w:r>
        <w:rPr>
          <w:b/>
        </w:rPr>
        <w:t>E. 6.1</w:t>
      </w:r>
    </w:p>
    <w:p>
      <w:r>
        <w:t>Die Vorinstanz begründete ihren ablehnenden Entscheid mit der feh- lenden Asylrelevanz und der teilweisen Unglaubhaftigkeit der Vorbringen des Beschwerdeführers.</w:t>
      </w:r>
    </w:p>
    <w:p>
      <w:r>
        <w:t>Der Beschwerdeführer habe sich hinsichtlich der vorgebrachten häuslichen Gewalt und Drohungen der Familie väterlicherseits, weil er sich gegen die Verheiratung seiner Schwester ausgesprochen habe, nie an die türkischen Behörden gewandt, auch nicht während seines Aufenthaltes in Istanbul. Es bestünden keine Hinweise auf eine generelle Schutzverweigerung, nach- dem die türkischen Behörden gar nie die Möglichkeit erhalten hätten, in seinem Sinne tätig zu werden. Selbst wenn eine polizeiliche Anzeige nicht entgegengenommen worden wäre, hätte er die zur Verfügung stehenden Beschwerdemöglichkeiten, nötigenfalls mit anwaltlicher Hilfe, ausschöpfen und sich an eine andere oder übergeordnete Stelle wenden können. Ins- besondere in Istanbul habe er die Möglichkeit gehabt, sich um staatliche oder nicht staatliche Hilfe zu bemühen und die nötigen Mittel zu ergreifen.</w:t>
      </w:r>
    </w:p>
    <w:p>
      <w:r>
        <w:t>Die Glaubhaftigkeit seiner Vorbringen in Bezug auf die beabsichtigte Zwangsheirat seiner Schwester sei aufgrund bestehender Abweichungen seiner Darstellung vom besagten 15. Juli 2022 von derjenigen der Mutter und Schwester zu bezweifeln. Im Weiteren mache die oberflächliche Be- schreibung des Anrufes in Istanbul nicht den Eindruck von selbst Erlebtem.</w:t>
      </w:r>
    </w:p>
    <w:p>
      <w:r>
        <w:t>Mit den eingereichten Beweismitteln liesse sich keine Verfolgung seitens S.B. oder eine Refraktion belegen. Alleine der Umstand, dass eine Person gemeinsam mit einer bekannten Person auf einem Foto zu sehen sei, lasse keine Aussage zu einer angeblichen Beziehung zwischen ihnen zu.</w:t>
      </w:r>
    </w:p>
    <w:p>
      <w:r>
        <w:t>Betreffend Militärdienstverweigerung habe der Beschwerdeführer keine Nachweise für eine Suche nach ihm eingereicht. Bei staatlichen Massnah- men zur Durchsetzung staatsbürgerlicher Pflichten, wie dem Wehrdienst, liege keine flüchtlingsrechtlich relevante Verfolgung vor. In seinem Fall wür- den keine Hinweise auf eine andere Schlussfolgerung vorliegen. Zudem werde Refraktion in der Türkei oft strafrechtlich nicht verfolgt. Im Weiteren sei im Jahr 2019 die Wehrdienstzeit in der Türkei auf sechs Monate redu- ziert worden. Türkische Staatsbürger müssten eine einmonatige militäri- sche Ausbildung absolvieren und könnten sich von den restlichen fünf</w:t>
      </w:r>
    </w:p>
    <w:p>
      <w:r>
        <w:t>D-6026/2024 Seite 6 Monaten ihres Wehrdienstes freikaufen. Es sei dem Beschwerdeführer zu- zumuten, diese Möglichkeit in Anspruch zu nehmen, sofern er dies nicht bereits gemacht habe. Ergänzend erstaune, dass der Beschwerdeführer die Refraktion erst am Ende der Anhörung vorgebracht und sie mit keinem Wort erwähnt habe, als er zu seinen Erwartungen bei einer Rückkehr in die Türkei befragt worden sei. Weitere Gründe für bisherige oder zukünftig zu erwartende ernsthafte Nachteile in der Türkei oder Befürchtungen im Zu- sammenhang mit der Ausgangssperre 2015/2016 habe er keine vorge- bracht. Der Beizug der Akten der Mutter und Schwester würden zu keinem anderen Ergebnis führen.</w:t>
      </w:r>
    </w:p>
    <w:p>
      <w:r>
        <w:rPr>
          <w:b/>
        </w:rPr>
        <w:t>E. 6.2</w:t>
      </w:r>
    </w:p>
    <w:p>
      <w:r>
        <w:t>In der Beschwerde wurde in Wiederholung des Sachverhaltes und aus- führlicher Darlegung der Gesetzesbestimmungen im Wesentlichen hin- sichtlich der Glaubhaftigkeit der Asylvorbringen erklärt, er sei von der Fa- milie väterlicherseits bedroht worden, weil er sich gegen die Zwangsheirat der Schwester gestellt habe. Die eingereichten Beweismittel seien in der Lage, die Angaben hinsichtlich der Verfolgung von S.B. und der Refraktion zu belegen. So erlaube der Umstand, dass zwei Personen auf einem Foto zu sehen seien, eine Aussage zu deren Beziehung zueinander. Selbst wenn es sich beim Wehrdienst alsdann um eine staatsbürgerliche Pflicht handle, die mit legitimen staatlichen Massnahmen durchgesetzt werde, verweigere der Beschwerdeführer den Militärdienst, weil kurdische Solda- ten in kurdischen Gebieten zur Bekämpfung von PKK-Guerillas eingesetzt würden. Es stimme, dass die Soldaten die restliche Dienstzeit freikaufen könnten, dies sei aber mit Kosten verbunden. Der Onkel als regierungs- nahe Person könne «alles» gegen die Familie unternehmen, weswegen es für den Beschwerdeführer (wie auch für die Mutter und Schwester) gefähr- lich sei, in die Türkei zurückzukehren.</w:t>
      </w:r>
    </w:p>
    <w:p>
      <w:r>
        <w:rPr>
          <w:b/>
        </w:rPr>
        <w:t>E. 7.1</w:t>
      </w:r>
    </w:p>
    <w:p>
      <w:r>
        <w:t>Die Vorinstanz hat die Vorbringen des Beschwerdeführers in der ange- fochtenen Verfügung zutreffend als nicht asylrelevant und teilweise un- glaubhaft qualifiziert, die Flüchtlingseigenschaft verneint und das Asylge- such abgelehnt. Zur Vermeidung von Wiederholungen kann auf die ent- sprechenden Erwägungen der angefochtenen Verfügung sowie auf E. 6.1 hiervor verwiesen werden. Die Ausführungen auf Beschwerdeebene füh- ren insgesamt, wie zu sehen sein wird, zu keiner anderen Betrachtungs- weise. Auf die Entgegnungen in der Beschwerde ist im Folgenden näher einzugehen.</w:t>
      </w:r>
    </w:p>
    <w:p>
      <w:r>
        <w:t>D-6026/2024 Seite 7</w:t>
      </w:r>
    </w:p>
    <w:p>
      <w:r>
        <w:rPr>
          <w:b/>
        </w:rPr>
        <w:t>E. 7.2</w:t>
      </w:r>
    </w:p>
    <w:p>
      <w:r>
        <w:t>Insofern sich die Rechtsmitteleingabe auf die Glaubhaftigkeit der Asylvorbringen bezieht, basieren die hierzu knapp dargelegten Erklärungsversuche auf blossen Gegenbehauptungen beziehungsweise sie werden nicht näher substantiiert (Beschwerde, S. 7 f.; vorstehende E. 6.2). Die Erwägungen der Vorinstanz zu den in der Beschwerde vorgebrachten Sachverhaltselementen (Drittverfolgung, Refraktion, Beweismittel) und ihre Schlussfolgerungen sind nachvollziehbar und dem Beschwerdeführer gelingt es mit den Beschwerdeausführungen nicht, ihre Einschätzung der fehlenden Asylrelevanz beziehungsweise teilweiser Unglaubhaftigkeit umzustossen (vgl. vi-Entscheid, Ziff. II/2). Ergänzend ist festzustellen, dass dem Einzug in den Militärdienst aufgrund der Staatsangehörigkeit und des Jahrgangs des Beschwerdeführers ohnehin keine asylrechtliche Relevanz beizumessen ist und die ethnische Zugehörigkeit des Einberufenen dabei keine Rolle spielt, und auch keine Veranlassung zur vom Beschwerdeführer implizierten Annahme besteht, die Türkei würde Kurden speziell gegen Angehörige der eigenen Ethnie einsetzen (vgl. statt vieler Urteile des BVGer D-7271/2023 vom 2. Mai 2024 S. 7 m.w.H.). Entgegen der Behauptung in der Beschwerde geht weder aus den Akten noch aus der Beschwerde ein Dokument als Nachweis für die Einberufung in den Militärdienst hervor. Mangels entsprechender Belege steht weder seine Einberufung noch seine Diensttauglichkeit fest. Hinsichtlich der Möglichkeit des Freikaufs der restlichen Dienstzeit ist festzustellen, dass seine Familie gut situiert ist und er bisher von seinem Onkel mütterlicherseits finanziell unterstützt wurde (A14/9, F37, vgl. dazu ausführlicher in den Akten des konnexen Dossiers D-5988/2024, A14/7, F29; A27/14, F10, F 81). Aus dem Einwand der Kosten des Freikaufs der restlichen Dienstzeit vermag der Beschwerdeführer daher nichts zu seinen Gunsten abzuleiten.</w:t>
      </w:r>
    </w:p>
    <w:p>
      <w:r>
        <w:rPr>
          <w:b/>
        </w:rPr>
        <w:t>E. 7.3</w:t>
      </w:r>
    </w:p>
    <w:p>
      <w:r>
        <w:t>Weder aus den Akten noch aus der Beschwerde ist ein Zusammenhang zwischen dem fehlenden Schutzersuchen des Beschwerdeführers bei den türkischen Behörden und S.B. ersichtlich. Die blosse Behauptung, der Onkel sei eine «regierungsnahe Person» ist mangels Substantiierung unbehelflich. Es liegen keine Anhaltspunkte vor, die die Schutzfähigkeit und den Schutzwillen der türkischen Behörden in Frage stellen würden (vgl. zur sogenannten Schutztheorie: BVGE 2011/51 E. 7; 2008/4 E. 6.1-6.5; EMARK 2006 Nr. 18). Weitere Einwendungen wurden nicht vorgebracht.</w:t>
      </w:r>
    </w:p>
    <w:p>
      <w:r>
        <w:rPr>
          <w:b/>
        </w:rPr>
        <w:t>E. 7.4</w:t>
      </w:r>
    </w:p>
    <w:p>
      <w:r>
        <w:t>Insgesamt wurden damit auf Beschwerdeebene keine neuen Tatsachen oder neue Beweismittel vorgebracht, welche die Einschätzung</w:t>
      </w:r>
    </w:p>
    <w:p>
      <w:r>
        <w:t>D-6026/2024 Seite 8 der Vorinstanz zu ändern vermöchten. Die Ausführungen in der Beschwerde vermögen keine asylrechtlich relevante Verfolgung begründet erscheinen zu lassen.</w:t>
      </w:r>
    </w:p>
    <w:p>
      <w:r>
        <w:rPr>
          <w:b/>
        </w:rPr>
        <w:t>E. 7.5</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w:t>
      </w:r>
    </w:p>
    <w:p>
      <w:r>
        <w:t>D-6026/2024 Seite 9 Folter oder unmenschlicher oder erniedrigender Strafe oder Behandlung unterworfen werden.</w:t>
      </w:r>
    </w:p>
    <w:p>
      <w:r>
        <w:rPr>
          <w:b/>
        </w:rPr>
        <w:t>E. 9.2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w:t>
      </w:r>
    </w:p>
    <w:p>
      <w:r>
        <w:t>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(vgl. Urteil des Bundes- verwaltungsgerichts E-2669/2024 vom 18. Oktober 2024 E. 9.1, bestätigt im kürzlich ergangenen Koordinationsentscheid des BVGer E-4103/2024 vom 8. November 2024 E. 13.2 m.w.H.). Nach dem Gesagten ist der Voll- zug der Wegweisung sowohl im Sinne der landes- als auch der völkerrecht- 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9.3.2</w:t>
      </w:r>
    </w:p>
    <w:p>
      <w:r>
        <w:t>Der Beschwerdeführer stammt aus Cizre (Provinz Sirnak). Im Zeit- punkt des Erlasses der angefochtenen Verfügung ging die Vorinstanz zu- treffend davon aus, dass der Vollzug der Wegweisung in die Provinz Sirnak aufgrund gewaltsamer Auseinandersetzungen als generell nicht zumutbar zu qualifizieren war (vgl. BVGE 2013/2 E. 9.6; Referenzurteil des BVGer E-1948/2018 vom 12. Juni 2018 E. 7.3.1). Im Sinne des kürzlich ergange- nen Koordinationsurteils des BVGer E-4103/2024 vom 8. November 2024 E. 13.4.8 ist die Zumutbarkeit von Wegweisungen in die Provinz Sirnak im Einzelfall individuell zu prüfen. In der angefochtenen Verfügung wird zutref- fend ausgeführt, dass der Beschwerdeführer sich an einem anderen Ort in</w:t>
      </w:r>
    </w:p>
    <w:p>
      <w:r>
        <w:t>D-6026/2024 Seite 10 der Türkei niederlassen kann und ihm die Inanspruchnahme einer solchen innerstaatlichen Aufenthaltsalternative auch zuzumuten ist. Er lebte bereits vorher im Haus seines Onkels mütterlicherseits in Istanbul und wurde von ihm finanziell unterstützt (A14/9 F37). Er hat die Schule bis zur neunten Klasse abgeschlossen und bereits früh im Goldatelier des Onkels mitgear- beitet (A19/7, F34 ff.). Als gesunder, junger und arbeitsfähiger Mann mit Schulausbildung und Arbeitserfahrung kann davon ausgegangen werden, dass er in einer anderen als seiner Herkunftsprovinz Fuss fassen kann. Demzufolge ist nicht davon auszugehen, er gerate bei der Rückkehr in die Türkei in eine existenzbedrohende Situation (vgl. dazu etwa a.a.O. E-2669/2024 E. 9.2). Aus den Hinweisen auf öffentlich zugängliche Be- richte, welche sich auf den Zeitraum Juni 2012 bis Oktober 2012 beziehen, kann der Beschwerdeführer nichts zu seinen Gunsten ableiten (Be- schwerde, S. 8).</w:t>
      </w:r>
    </w:p>
    <w:p>
      <w:r>
        <w:rPr>
          <w:b/>
        </w:rPr>
        <w:t>E. 9.3.3</w:t>
      </w:r>
    </w:p>
    <w:p>
      <w:r>
        <w:t>Aufgrund des Gesagten ist der Antrag auf Feststellung des rechtser- heblichen Sachverhaltes in Bezug auf die Sicherheitslage in der Provinz Sirnak abzuweisen.</w:t>
      </w:r>
    </w:p>
    <w:p>
      <w:r>
        <w:rPr>
          <w:b/>
        </w:rPr>
        <w:t>E. 9.3.4</w:t>
      </w:r>
    </w:p>
    <w:p>
      <w:r>
        <w:t>Nach dem Gesagten erweist sich der Vollzug der Wegweisung als zumutbar.</w:t>
      </w:r>
    </w:p>
    <w:p>
      <w:r>
        <w:rPr>
          <w:b/>
        </w:rPr>
        <w:t>E. 9.4</w:t>
      </w:r>
    </w:p>
    <w:p>
      <w:r>
        <w:t>Schliesslich obliegt es der Beschwerdeführer, sich bei der zuständigen Vertretung des Heimatstaates die für eine Rückkehr allfällig notwendigen Reisedokumente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 soweit überprüfbar – vollständig feststellt (Art. 106 Abs. 1 AsylG) und angemessen ist. Die Beschwerde ist abzuweisen.</w:t>
      </w:r>
    </w:p>
    <w:p>
      <w:r>
        <w:t>D-6026/2024 Seite 11</w:t>
      </w:r>
    </w:p>
    <w:p>
      <w:r>
        <w:rPr>
          <w:b/>
        </w:rPr>
        <w:t>E. 11.1</w:t>
      </w:r>
    </w:p>
    <w:p>
      <w:r>
        <w:t>Die Beschwerde hat sich als von vornherein aussichtslos erwiesen, weshalb das gestellte Gesuch um Gewährung der unentgeltlichen Pro- zessführung – unabhängig von einer allfälligen Bedürftigkeit – abzuweisen ist.</w:t>
      </w:r>
    </w:p>
    <w:p>
      <w:r>
        <w:rPr>
          <w:b/>
        </w:rPr>
        <w:t>E. 11.2</w:t>
      </w:r>
    </w:p>
    <w:p>
      <w:r>
        <w:t>Mit vorliegendem Direktentscheid ist das Gesuch um Verzicht auf die Erhebung eines Kostenvorschusses gegenstandslos geworden.</w:t>
      </w:r>
    </w:p>
    <w:p>
      <w:r>
        <w:rPr>
          <w:b/>
        </w:rPr>
        <w:t>E. 11.3</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D-6026/2024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