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D-6019/2006 vom 4. Februar 2010</w:t>
      </w:r>
    </w:p>
    <w:p>
      <w:r>
        <w:t>Bundesverwaltungsgericht, 2010-02-04, DE</w:t>
      </w:r>
    </w:p>
    <w:p>
      <w:r>
        <w:rPr>
          <w:b/>
        </w:rPr>
        <w:t xml:space="preserve">Quelle: </w:t>
      </w:r>
      <w:r>
        <w:t>https://mcp.opencaselaw.ch/entscheid/bvger_D-6019_2006</w:t>
      </w:r>
    </w:p>
    <w:p>
      <w:r>
        <w:t>FR: TAF D-6019/2006 du 4 février 2010</w:t>
      </w:r>
    </w:p>
    <w:p>
      <w:r>
        <w:t>IT: TAF D-6019/2006 del 4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Glaubhaftigkeit der geltend gemachten Vorbringen festgehalten. Namentlich werden Erklärungen im Zusammenhang mit der Flucht vor den zwei Polizisten, dem Verlassen des Dorfes und dem Verbrennen der Pelze abgegeben (vgl. Beschwerde, S. 2). Die Überprüfung der Akten in diesem Kontext ergibt, dass die Vorinstanz die Schilderungen des Beschwerdeführers zu Recht als widersprüchlich qualifiziert hat, wobei auf die entsprechenden, vorstehend wiedergegebenen Erwägungen des BFM (vgl. Sachverhalt, Bst. B) in der angefochtenen Verfügung verwiesen werden kann. Namentlich erklärte der Beschwerdeführer anlässlich der Anhörung vom 15. Juni 2006, welche von der Vorinstanz zur Entscheidfindung herangezogen wurde, er verstehe den Dolmetscher gut und dessen Sprache klinge nach seinem Dialekt (vgl. Vorakten (...)). Die geltend gemachten Verfolgungsvorbringen wurden nach dem Gesagten durch die Vorinstanz zu Recht als unglaubhaft qualifiziert. Aus den Ausführungen in der Beschwerdeschrift und in der Replik ergeben sich keine Erkenntnisse, die zu einer von der Vorinstanz abweichenden Beurteilung führen könnten.</w:t>
      </w:r>
    </w:p>
    <w:p>
      <w:r>
        <w:rPr>
          <w:b/>
        </w:rPr>
        <w:t>E. 4.2</w:t>
      </w:r>
    </w:p>
    <w:p>
      <w:r>
        <w:t>Zusammenfassend ist festzuhalten, dass die Vorbringen des Beschwerdeführers in Bezug auf eine Verfolgungssituation zum Zeitpunkt der Ausreise den Anforderungen an die Glaubhaftmachung der Flüchtlingseigenschaft nach Art. 7 AsylG nicht genügen, weshalb deren Asylrelevanz nicht zu prüfen ist. Die Vorinstanz hat den geltend gemachten Sachverhalt weder unvollständig oder rechtsfehlerhaft festgestellt noch daraus die falschen Schlüsse gezogen. Aufgrund der vorstehenden Erwägungen erübrigt es sich, auf die weiteren Ausführungen in der Beschwerde einzugehen, weil sie am Ergebnis nichts ändern können. Das Asylgesuch wurde vom Bundesamt gestützt auf die vom Beschwerdeführer bis zur Ausreise aus China geltend gemachten Vorbringen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Aufenthaltsbewilligung noch einen Anspruch auf Erteilung einer solchen. Die Wegweisung wurde demnach zu Recht angeordnet (Art. 44 Abs. 1 AsylG i.V.m. Art. 32 der Asylverordnung vom 11. August 1999 über Verfahrensfragen [AsylV 1, SR 142.311]; vgl. EMARK 2001 Nr. 21).</w:t>
      </w:r>
    </w:p>
    <w:p>
      <w:r>
        <w:rPr>
          <w:b/>
        </w:rPr>
        <w:t>E. 6</w:t>
      </w:r>
    </w:p>
    <w:p>
      <w:r>
        <w:t>Das BFM hat den Beschwerdeführer in der angefochtenen Verfügung vom 20. Juni 2006 wegen Unzumutbarkeit des Vollzugs der Wegweisung vorläufig aufgenommen. Mit Verfügung vom 6. November 2009 wurde überdies die Flüchtlingseigenschaft aufgrund von subjektiven Nachfluchtgründen und demzufolge die Unzulässigkeit des Wegweisungsvollzuges festgestellt. Demnach ist die Beschwerde, soweit sie die Flüchtlingseigenschaft und den Wegweisungsvollzug betrifft, gegenstandslos geworden.</w:t>
      </w:r>
    </w:p>
    <w:p>
      <w:r>
        <w:rPr>
          <w:b/>
        </w:rPr>
        <w:t>E. 7</w:t>
      </w:r>
    </w:p>
    <w:p>
      <w:r>
        <w:t>Aus diesen Erwägungen ergibt sich, dass die angefochtene Verfügung - soweit nicht gegenstandslos geworden - Bundesrecht nicht verletzt, den rechtserheblichen Sachverhalt richtig und vollständig feststellt und angemessen ist (Art. 106 AsylG). Die Beschwerde ist nach dem Gesagten abzuweisen, soweit sie nicht gegenstandslos geworden ist.</w:t>
      </w:r>
    </w:p>
    <w:p>
      <w:r>
        <w:rPr>
          <w:b/>
        </w:rPr>
        <w:t>E. 8.1</w:t>
      </w:r>
    </w:p>
    <w:p>
      <w:r>
        <w:t>Die Beschwerdeinstanz auferlegt die Verfahrenskosten in der Regel der unterliegenden Partei (Art. 63 Abs. 1 und 5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w:t>
      </w:r>
    </w:p>
    <w:p>
      <w:r>
        <w:rPr>
          <w:b/>
        </w:rPr>
        <w:t>E. 8.2</w:t>
      </w:r>
    </w:p>
    <w:p>
      <w:r>
        <w:t>Beim vorliegenden Ausgang des Beschwerdeverfahrens sind dem Beschwerdeführer praxisgemäss (...) ermässigte Verfahrenskosten in der Höhe von Fr. 300.-- aufzuerlegen (Art. 63 Abs. 1 VwVG; Art. 2 Abs. 1, Art. 3 und 5 VGKE). Das in der Beschwerde gestellte Gesuch um Gewährung der unentgeltlichen Prozessführung (Art. 65 Abs. 1 VwVG) ist abzuweisen. Zwar erwies sich die Beschwerde zum Zeitpunkt der Einreichung als nicht aussichtslos. Aufgrund der Aktenlage ist indes nicht mehr von der prozessualen Bedürftigkeit des Beschwerdeführers auszugehen, zumal dieser seit Oktober 2008 erwerbstätig ist.</w:t>
      </w:r>
    </w:p>
    <w:p>
      <w:r>
        <w:rPr>
          <w:b/>
        </w:rPr>
        <w:t>E. 8.3</w:t>
      </w:r>
    </w:p>
    <w:p>
      <w:r>
        <w:t>Dem Beschwerdeführer ist infolge der teilweisen Gegenstandslosigkeit, wobei diese durch das Verhalten des BFM bewirkt wurde, zu Lasten des BFM eine Parteientschädigung für die ihm erwachsenen notwendigen Vertretungskosten zuzusprechen (Art. 64 Abs. 1 VwVG i.V.m. Art. 7 Abs. 1 und 2 sowie Art. 15 VGKE), welche entsprechend dem Grad des Durchdringens (...) zu reduzieren ist. Seitens der erst ab Vernehmlassungsstufe eingesetzten Rechtsvertretung wurde keine Kostennote eingereicht. Der Vertretungsaufwand für das vorliegende Verfahren lässt sich jedoch aufgrund der Aktenlage hinreichend einschätzen. Die von der Vorinstanz auszurichtende reduzierte Parteientschädigung ist unter Berücksichtigung der massgebenden Berechnungsfaktoren von Amtes wegen auf pauschal Fr. 450.-- (inkl. allfällige Auslagen und Mehrwertsteuer) festzusetzen (Art. 8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