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D-6018/2009 vom 24. Februar 2011</w:t>
      </w:r>
    </w:p>
    <w:p>
      <w:r>
        <w:t>Bundesverwaltungsgericht, 2011-02-24, DE</w:t>
      </w:r>
    </w:p>
    <w:p>
      <w:r>
        <w:rPr>
          <w:b/>
        </w:rPr>
        <w:t xml:space="preserve">Quelle: </w:t>
      </w:r>
      <w:r>
        <w:t>https://mcp.opencaselaw.ch/entscheid/bvger_D-6018_2009</w:t>
      </w:r>
    </w:p>
    <w:p>
      <w:r>
        <w:t>FR: TAF D-6018/2009 du 24 février 2011</w:t>
      </w:r>
    </w:p>
    <w:p>
      <w:r>
        <w:t>IT: TAF D-6018/2009 del 24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AsylG,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wendet das Recht von Amtes wegen an (Art. 62 Abs. 4 VwVG). Es ist mithin nicht an die Begründung der Begehren gebunden und kann den Entscheid auch aus anderen Gründen gutheissen oder abweisen.</w:t>
      </w:r>
    </w:p>
    <w:p>
      <w:r>
        <w:rPr>
          <w:b/>
        </w:rPr>
        <w:t>E. 3</w:t>
      </w:r>
    </w:p>
    <w:p>
      <w:r>
        <w:t>Obwohl der Beschwerdeführer dies nicht gerügt hat, muss demnach zunächst in formeller Hinsicht geprüft werden, ob die Begründung der angefochtenen Verfügung den Anforderungen an das rechtliche Gehör zu genügen vermag.</w:t>
      </w:r>
    </w:p>
    <w:p>
      <w:r>
        <w:rPr>
          <w:b/>
        </w:rPr>
        <w:t>E. 3.1</w:t>
      </w:r>
    </w:p>
    <w:p>
      <w:r>
        <w:t>Der Grundsatz des rechtlichen Gehörs (Art. 29 Abs. 2 BV, Art. 29 VwVG, Art. 32 Abs. 1 VwVG) verlangt unter anderem,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(vgl. BVGE 2008/47 E. 3.2 S. 674 f. mit weiteren Hinweisen).</w:t>
      </w:r>
    </w:p>
    <w:p>
      <w:r>
        <w:rPr>
          <w:b/>
        </w:rPr>
        <w:t>E. 3.2</w:t>
      </w:r>
    </w:p>
    <w:p>
      <w:r>
        <w:t>Im vorliegenden Fall führte das BFM zur Begründung seiner Verfügung aus, die Vorbringen des Beschwerdeführers seien einerseits nicht glaub­haft im Sinne von Art. 7 AsylG und andererseits nicht asylrelevant im Sinne von Art. 3 AsylG. In seinen Erwägungen begründete das BFM zunächst ausführlich, weshalb es die Vorbringen des Beschwerdeführers für nicht glaubhaft hält. Im Weiteren stellte es seine Zugehörigkeit zu den Bi­dunen und diesbezügliche Diskriminierungen zwar nicht in Frage, unterlässt dabei aber eine Prüfung der Nachteile, die dem Beschwerdeführer bei einer Rückkehr nach Kuwait allenfalls drohen, unter dem Gesichtspunkt der begründeten Frucht vor zukünftiger Verfolgung. So führte es be­züglich der Asylrelevanz lediglich aus, bei der Diskriminierung der Bidu­nen in Kuwait handle es sich um Nachteile, welche auf die allgemeinen politischen, wirtschaftlichen oder sozialen Lebensbedingungen in einem Staat zurückzuführen seien. Sie überschritten jedoch nicht die Grenze zur asyl­relevanten Verfolgung. Dabei wurde weder erklärt, um welche Nach­teile es sich handelt, noch warum diese nicht asylrelevant sein sollten. Eben­so wenig prüfte die Vorinstanz, ob die bereits erlebten Verfolgungsmass­nahmen beim Beschwerdeführer einen unerträglichen psychischen Druck hervorriefen. Im Weiteren äussert sich das BFM auch nicht zur Frage, ob der Beschwerdeführer ein registrierter oder ein nicht registrierter Bidun ist. Diese Frage ist aber vorliegend wichtig, da diese beiden Grup­pen in Kuwait ganz unterschiedlichen Nachteilen ausgesetzt sein kön­nen.</w:t>
      </w:r>
    </w:p>
    <w:p>
      <w:r>
        <w:rPr>
          <w:b/>
        </w:rPr>
        <w:t>E. 3.3</w:t>
      </w:r>
    </w:p>
    <w:p>
      <w:r>
        <w:t>Schliesslich unterliess das BFM auch eine Erörterung der Frage unter dem Gesichtspunkt der Möglichkeit des Wegweisungsvollzugs, indem es diese ohne weitere Ausführungen als gegeben erachtete. Dabei berücksichtigte es nicht, dass der Beschwerdeführer angab, er verfüge nicht über die kuwaitische Staatsbürgerschaft, und dass er diese gegebenenfalls auch nicht erhalten können wird. Weiter prüfte das BFM nicht, ob der Beschwerdeführer in Kuwait als Bidun registriert ist oder nicht und liess infolgedessen auch die Frage unerörtert, ob er allenfalls die Möglichkeit hat, trotz seines speziellen Status in sein Land zurückzukehren.</w:t>
      </w:r>
    </w:p>
    <w:p>
      <w:r>
        <w:rPr>
          <w:b/>
        </w:rPr>
        <w:t>E. 3.4</w:t>
      </w:r>
    </w:p>
    <w:p>
      <w:r>
        <w:t>Nach dem Gesagten sind die Erwägungen des BFM zur Asylrelevanz und zum Wegweisungsvollzug als ungenügend zu erachten. Die Vorinstanz hätte dazu weitere Ausführungen beziehungsweise vertiefte Abklärungen machen müssen, entweder durch die schweizerische Vertretung in Kuwait oder das Verbindungsbüro des UNHCR für die Schweiz. Allein auf der Grundlage der Erwägungen der angefochtenen Verfügung war der Entscheid für den Beschwerdeführer jedenfalls nicht nachvollziehbar und damit auch nicht sachgerecht anfechtbar. Infolgedessen muss festgestellt werden, dass das BFM vorliegend das rechtliche Gehör verletzt hat.</w:t>
      </w:r>
    </w:p>
    <w:p>
      <w:r>
        <w:rPr>
          <w:b/>
        </w:rPr>
        <w:t>E. 4.1</w:t>
      </w:r>
    </w:p>
    <w:p>
      <w:r>
        <w:t>Eine Verletzung des rechtlichen Gehörs führt grundsätzlich - das heisst ungeachtet der materiellen Auswirkungen - zur Aufhebung des da­raufhin ergangenen Entscheides. Die Heilung einer Gehörsverletzung aus pro­zessökonomischen Gründen auf Beschwerdeebene ist jedoch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mit weiteren Hinweisen).</w:t>
      </w:r>
    </w:p>
    <w:p>
      <w:r>
        <w:rPr>
          <w:b/>
        </w:rPr>
        <w:t>E. 4.2</w:t>
      </w:r>
    </w:p>
    <w:p>
      <w:r>
        <w:t>Angesichts der durch eine Lingua-Analyse festgestellten Zugehörigkeit des Beschwerdeführers zu den Bidunen drängen sich vorliegend weitere Abklärungen zur Asylrelevanz der Vorbringen und allenfalls zum Weg­weisungsvollzug auf. Dabei muss insbesondere geprüft werden, ob der Beschwerdeführer die kuwaitische Staatsbürgerschaft besitzt und ob er andernfalls als Bidune registriert ist oder nicht. Das BFM machte auch in seiner Vernehmlassung hierzu keine weiteren Ausführungen. Diese Ab­klä­rungen überschreiten in ihrem Umfang und ihrer Dauer den für das Bun­desverwaltungsgericht vertretbaren Aufwand. Demzufolge kann der vorliegende Mangel auf Beschwerdeebene nicht geheilt werden, zumal es nicht Sinn und Zweck des Beschwerdeverfahrens vor dem Bundesverwaltungsgerichts ist, von der Vorinstanz unterlassene Verfahrenshandlungen nachzuholen. Gegen eine Heilung des Verfahrensmangels spricht insbeson­dere auch der Umstand, dass dem Beschwerdeführer andernfalls eine In­stanz verloren ginge.</w:t>
      </w:r>
    </w:p>
    <w:p>
      <w:r>
        <w:rPr>
          <w:b/>
        </w:rPr>
        <w:t>E. 4.3</w:t>
      </w:r>
    </w:p>
    <w:p>
      <w:r>
        <w:t>Nach dem Gesagten erscheint es sachgerecht, das Verfahren an die Vorinstanz zurückzuweisen, damit diese die nötigen Abklärungen vornimmt und diese im Rahmen eines neuen beschwerdefähigen Entscheides einer rechtlichen Würdigung unterzieht. Die Beschwerde ist infolgedes­sen gutzuheissen und die angefochtene Verfügung aufzuheben.</w:t>
      </w:r>
    </w:p>
    <w:p>
      <w:r>
        <w:rPr>
          <w:b/>
        </w:rPr>
        <w:t>E. 5.1</w:t>
      </w:r>
    </w:p>
    <w:p>
      <w:r>
        <w:t>Bei diesem Ausgang des Verfahrens sind keine Kosten aufzuerlegen (Art. 63 Abs. 1 und 2 VwVG). Das Gesuch um Gewährung der unentgeltlichen Rechtspflege im Sinne von Art. 65 Abs. 1 VwVG wird damit gegenstandslos.</w:t>
      </w:r>
    </w:p>
    <w:p>
      <w:r>
        <w:rPr>
          <w:b/>
        </w:rPr>
        <w:t>E. 5.2</w:t>
      </w:r>
    </w:p>
    <w:p>
      <w:r>
        <w:t>Obsiegende Parteien haben Anspruch auf eine Parteientschädigung für die ihnen erwachsenen notwendigen und verhältnismässig hohen Kos­ten (Art. 7 des Reglements vom 21. Februar 2008 über die Kosten und Entschädigungen vor dem Bundesverwaltungsgericht [VGKE, SR 173.320.2]). Der Rechtsvertreter des Beschwerdeführers hat es bisher unterlassen, eine Kostennote einzureichen. Auf eine entsprechende Nach­forderung kann jedoch verzichtet werden, da sich der Parteiaufwand zu­verlässig abschätzen lässt. Die vom BFM auszurichtende Parteientschä­digung wird demnach auf Fr. 1000.- (inkl. Spesen und Mehrwert­steuer) festgesetzt (Art. 14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