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D-6011/2007 vom 21. Dezember 2007</w:t>
      </w:r>
    </w:p>
    <w:p>
      <w:r>
        <w:t>Bundesverwaltungsgericht, 2007-12-21, DE</w:t>
      </w:r>
    </w:p>
    <w:p>
      <w:r>
        <w:rPr>
          <w:b/>
        </w:rPr>
        <w:t xml:space="preserve">Quelle: </w:t>
      </w:r>
      <w:r>
        <w:t>https://mcp.opencaselaw.ch/entscheid/bvger_D-6011_2007</w:t>
      </w:r>
    </w:p>
    <w:p>
      <w:r>
        <w:t>FR: TAF D-6011/2007 du 21 décembre 2007</w:t>
      </w:r>
    </w:p>
    <w:p>
      <w:r>
        <w:t>IT: TAF D-6011/2007 del 21 dicembre 2007</w:t>
      </w:r>
    </w:p>
    <w:p>
      <w:pPr>
        <w:pStyle w:val="Heading2"/>
      </w:pPr>
      <w:r>
        <w:t>Regeste</w:t>
      </w:r>
    </w:p>
    <w:p>
      <w:r>
        <w:t>Nichteintreten auf Asylgesuch und Wegweisung</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VwVG, sofern keine Ausnahme nach Art. 32 VGG vorliegt. Als Vorinstanzen gelten die in Art. 33 und 34 VGG genannten Behörden. Dazu gehören Verfügungen des BFM gestützt auf das AsylG; das Bundesverwaltungsgericht entscheidet in diesem Bereich endgültig (Art. 105 AsylG; Art. 83 Bst. d Ziff. 1 des Bundesgesetzes vom 17. Juni 2005 über das Bundesgericht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Der Beschwerdeführer hat das Verfahren vor dem Bundesamt eingeleitet, ist durch die angefochtene Verfügung berührt und hat ein schutzwürdiges Interesse an deren Aufhebung beziehungsweise Änderung. Damit ist er zur Einreichung der Beschwerde legitimiert (Art. 6 AsylG i.V.m. Art. 48 Abs. 1 VwVG).</w:t>
      </w:r>
    </w:p>
    <w:p>
      <w:r>
        <w:rPr>
          <w:b/>
        </w:rPr>
        <w:t>E. 1.4</w:t>
      </w:r>
    </w:p>
    <w:p>
      <w:r>
        <w:t>Die Beschwerde wurde frist- und formgerecht eingereicht (Art. 50 ff.). Demzufolge ist auf die Beschwerde einzutreten.</w:t>
      </w:r>
    </w:p>
    <w:p>
      <w:r>
        <w:rPr>
          <w:b/>
        </w:rPr>
        <w:t>E. 2</w:t>
      </w:r>
    </w:p>
    <w:p>
      <w:r>
        <w:t>Die Beschwerde vom 10. September 2007 richtet sich gegen die Nichteintretensverfügung vom 8. August 2007 zufolge Nichtbezahlens des Kostenvorschusses sowie die Zwischenverfügung vom 5. Juli 2007. Prüfungsgegenstand des vorliegenden Beschwerdeverfahrens bildet somit die Frage, ob die Vorinstanz zu Recht mit der Begründung, das angehobene Asylverfahren sei von vornherein aussichtslos, einen Vorschuss erhoben hat und zufolge Nichtbezahlens auf das Asylgesuch nicht eingetreten ist (vgl. BVGE 2007/18 S. 211 ff.).</w:t>
      </w:r>
    </w:p>
    <w:p>
      <w:r>
        <w:rPr>
          <w:b/>
        </w:rPr>
        <w:t>E. 3.1</w:t>
      </w:r>
    </w:p>
    <w:p>
      <w:r>
        <w:t>Gemäss Art. 17b Abs. 3 AsylG kann das Bundesamt von der gesuchstellenden Person nach Einreichung des Wiedererwägungsgesuchs einen Gebührenvorschuss in der Höhe der mutmasslichen Verfahrenskosten verlangen und setzt zu dessen Leistung unter Androhung des Nichteintretens eine angemessene Frist. Auf einen Gebührenvorschuss wird verzichtet, wenn die Voraussetzungen nach Absatz 2 gegeben sind (Bst. a) oder im Verfahren mit unbegleiteten Minderjährigen, wenn das Wiedererwägungsgesuch nicht von vornherein aussichtslos erscheint (Bst. b). Gemäss Art. 17b Abs. 2 AsylG befreit das Bundesamt nach Einreichung eines Wiedererwägungsgesuchs auf Gesuch hin von der Bezahlung von Verfahrenskosten, sofern die gesuchstellende Person bedürftig ist und ihre Begehren nicht von vornherein aussichtslos erscheinen. Gemäss Art. 17b Abs. 4 AsylG finden die Absätze 1-3 sinngemäss auch auf zweite (und allfällige weitere) Asylgesuche Anwendung, ausser die asylsuchende Person ist aus dem Heimat- oder Herkunftsstaat in die Schweiz zurückgekehrt.</w:t>
      </w:r>
    </w:p>
    <w:p>
      <w:r>
        <w:rPr>
          <w:b/>
        </w:rPr>
        <w:t>E. 3.2</w:t>
      </w:r>
    </w:p>
    <w:p>
      <w:r>
        <w:t>Es ist im vorliegenden Fall unbestritten, dass der Beschwerdeführer nach erfolglosem Durchlaufen des ersten Asylverfahrens ein zweites Asylgesuch gestellt hat. Angesichts der sich aus den Akten ergebenden Tatsache, dass er sich zwischenzeitlich in der Schweiz aufgehalten hat und nicht in seinen Heimatstaat zurückgekehrt ist, erfüllt er grundsätzlich die Voraussetzung von Art. 17b Abs. 4 AsylG für die Erhebung eines Gebührenvorschusses.</w:t>
      </w:r>
    </w:p>
    <w:p>
      <w:r>
        <w:rPr>
          <w:b/>
        </w:rPr>
        <w:t>E. 3.3</w:t>
      </w:r>
    </w:p>
    <w:p>
      <w:r>
        <w:t>Im Gegensatz zu anderen, neu eingeführten Verfahrenbestimmungen ist hinsichtlich der seit 1. Januar 2007 bestehenden Möglichkeit der Gebührenvorschusserhebung bei Wiedererwägungs- und Mehrfachgesuchen festzustellen, dass sie nicht nur erhebliche finanzielle Folgen für die gesuchstellenden Personen nach sich zieht, indem ihnen gegebenenfalls Beträge bis zu Fr. 1'800.-- auferlegt werden können (Art. 7a Abs. 1 und 2 der Asylverordnung 1 vom 11. August 1999 über Verfahrensfragen [AsylV 1, SR 142.311]), sondern auch dazu führen kann, dass diesen, sollten sie aus finanziellen Gründen nicht in der Lage sein, den Gebührenvorschuss zu bezahlen, der Zugang zu einer ordentlichen Prüfung des Gesuchs verwehrt wird.</w:t>
      </w:r>
    </w:p>
    <w:p>
      <w:r>
        <w:rPr>
          <w:b/>
        </w:rPr>
        <w:t>E. 3.4</w:t>
      </w:r>
    </w:p>
    <w:p>
      <w:r>
        <w:t>Vorliegend ergibt eine Prüfung der Akten, dass sich die Vorbringen des Beschwerdeführers zur Begründung seines zweiten Asylgesuchs entgegen den Erwägungen der Vorinstanz in der Zwischenverfügung vom 5. Juli 2007 nicht als von Vornherein aussichtslos erweisen. Für das Bundesverwaltungsgericht gilt aufgrund der eingereichten Beweismittel als erstellt, dass der Beschwerdeführer Mitglied der "KINJIT-Coalition für Unity and Democracy (CUDP) Support group in Switzerland" sowie der AES ist und an verschiedenen Aktionen in der Schweiz exilpolitisch in Erscheinung getreten ist. Insbesondere ergeben sich aufgrund seiner konkreten, regierungskritischen Aktivitäten (vgl. die unter Bst. B. vorstehend erwähnten Fotos), welche durch zwei Bestätigungsschreiben erhärtet werden, konkrete Hinweise darauf, dass der Beschwerdeführer bei einer zwangsweisen Rückführung nach Äthiopien Gefahr laufen könnte, asylrelevanten Verfolgungsmassnahmen durch die äthiopischen Sicherheitsbehörden ausgesetzt zu werden, zumal gemäss dem von ihm eingereichten Rundschreiben des äthiopischen Aussenministeriums das Personal der Auslandvertretungen angewiesen wird, Berichte über politisch aktive Landsleute zu erstellen, und mithin zu schliessen ist, dass Veranstaltungen der KINJIT in der Schweiz durch Vertreter der äthiopischen Regierung observiert werden. Angesichts dieser Sachlage ist festzustellen, dass die Vorinstanz die Vorbringen des Beschwerdeführers zu Unrecht als von vornherein aussichtslos qualifiziert hat. Da zudem aufgrund der Aktenlage von der prozessualen Mittellosigkeit des Beschwerdeführers auszugehen war, waren die Voraussetzungen von Art. 17b Abs. 3 Bst. a AsylG für einen Verzicht auf einen Gebührenvorschuss erfüllt; die Vorinstanz wäre folglich verpflichtet gewesen, auf einen solchen zu verzichten.</w:t>
      </w:r>
    </w:p>
    <w:p>
      <w:r>
        <w:rPr>
          <w:b/>
        </w:rPr>
        <w:t>E. 4</w:t>
      </w:r>
    </w:p>
    <w:p>
      <w:r>
        <w:t>Aus diesen Erwägungen ergibt sich, dass die angefochtene Verfügung Bundesrecht verletzt (Art. 106 AsylG). Die Beschwerde ist demnach im Sinne der Erwägungen gutzuheissen. Die Verfügungen vom 8. August 2007 und vom 5. Juli 2007 sind aufzuheben und das BFM ist anzuweisen, das Asylverfahren fortzuführen.</w:t>
      </w:r>
    </w:p>
    <w:p>
      <w:r>
        <w:rPr>
          <w:b/>
        </w:rPr>
        <w:t>E. 5.1</w:t>
      </w:r>
    </w:p>
    <w:p>
      <w:r>
        <w:t>Bei diesem Ausgang des Verfahrens sind keine Kosten aufzuerlegen (Art. 63 Abs. 1 und 2 VwVG).</w:t>
      </w:r>
    </w:p>
    <w:p>
      <w:r>
        <w:rPr>
          <w:b/>
        </w:rPr>
        <w:t>E. 5.2</w:t>
      </w:r>
    </w:p>
    <w:p>
      <w:r>
        <w:t>Dem Beschwerdeführer ist angesichts des Obsiegens im Beschwerdeverfahren in Anwendung von Art. 64 Abs. 1 VwVG i.V.m. Art. 37 VGG für die Kosten der Vertretung und allfälligen weiteren notwendigen Auslagen eine Parteientschädigung zuzusprechen (vgl. auch Art. 7 des Reglements vom 11. Dezember 2006 über die Kosten und Entschädigungen vor dem Bundesverwaltungsgericht [VGKE, SR 173.320.2]). Nachdem der Rechtsvertreter keine Kostennote zu den Akten gereicht hat und sich der notwendige Vertretungsaufwand auf Grund der Aktenlage zuverlässig abschätzen lässt, ist die Parteientschädigung unter Berücksichtigung der massgebenden Berechnungsfaktoren von Amtes auf Fr. 800.-- festzusetzen. Das BFM ist zu verpflichten, dem Beschwerdeführer diesen Betrag als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