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D-6011/2006 vom 21. August 2008</w:t>
      </w:r>
    </w:p>
    <w:p>
      <w:r>
        <w:t>Bundesverwaltungsgericht, 2008-08-21, DE</w:t>
      </w:r>
    </w:p>
    <w:p>
      <w:r>
        <w:rPr>
          <w:b/>
        </w:rPr>
        <w:t xml:space="preserve">Quelle: </w:t>
      </w:r>
      <w:r>
        <w:t>https://mcp.opencaselaw.ch/entscheid/bvger_D-6011_2006</w:t>
      </w:r>
    </w:p>
    <w:p>
      <w:r>
        <w:t>FR: TAF D-6011/2006 du 21 août 2008</w:t>
      </w:r>
    </w:p>
    <w:p>
      <w:r>
        <w:t>IT: TAF D-6011/2006 del 21 agosto 2008</w:t>
      </w:r>
    </w:p>
    <w:p>
      <w:pPr>
        <w:pStyle w:val="Heading2"/>
      </w:pPr>
      <w:r>
        <w:t>Regeste</w:t>
      </w:r>
    </w:p>
    <w:p>
      <w:r>
        <w:t>Asyl und Wegweisung</w:t>
      </w:r>
    </w:p>
    <w:p>
      <w:pPr>
        <w:pStyle w:val="Heading2"/>
      </w:pPr>
      <w:r>
        <w:t>Erwägungen</w:t>
      </w:r>
    </w:p>
    <w:p>
      <w:r>
        <w:rPr>
          <w:b/>
        </w:rPr>
        <w:t>E. 1.1</w:t>
      </w:r>
    </w:p>
    <w:p>
      <w:r>
        <w:t>Das Bundesverwaltungsgericht entscheidet endgültig über Beschwerden gegen Verfügungen des BFM auf dem Gebiet des Asyls (Art. 105 AsylG i.V.m. Art. 31 - 34 des Verwaltungsgerichtsgesetzes vom 17. Juni 2005 [VGG, SR 173.32]; Art. 83 Bst. d Ziff. 1 des Bundesgerichtsgesetzes vom 17. Juni 2005 [BGG, SR 173.110]).</w:t>
      </w:r>
    </w:p>
    <w:p>
      <w:r>
        <w:rPr>
          <w:b/>
        </w:rPr>
        <w:t>E. 1.2</w:t>
      </w:r>
    </w:p>
    <w:p>
      <w:r>
        <w:t>Das Bundesverwaltungsgericht übernahm am 1. Januar 2007 die Beurteilung der am 31. Dezember 2006 bei der ARK hängig gewesenen Rechtsmittel. Es gelangt das neue Verfahrensrecht zur Anwendung (Art. 53 Abs. 2 VGG).</w:t>
      </w:r>
    </w:p>
    <w:p>
      <w:r>
        <w:rPr>
          <w:b/>
        </w:rPr>
        <w:t>E. 1.3</w:t>
      </w:r>
    </w:p>
    <w:p>
      <w:r>
        <w:t>Mit Beschwerde an das Bundesverwaltungsgericht können die Verletzung von Bundesrecht, die unrichtige oder unvollständige Feststellung des rechtserheblichen Sachverhalts und die Unangemessenheit gerügt werden (Art. 106 Abs. 1 AsylG).</w:t>
      </w:r>
    </w:p>
    <w:p>
      <w:r>
        <w:rPr>
          <w:b/>
        </w:rPr>
        <w:t>E. 2</w:t>
      </w:r>
    </w:p>
    <w:p>
      <w:r>
        <w:t>Der Beschwerdeführer ist legitimiert; auf die frist- und formgerecht eingereichte Beschwerde ist einzutreten (Art. 6 AsylG i.V.m. Art. 48 Abs. 1 und 50 ff. VwVG).</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Entscheide und Mitteilungen der Schweizerischen Asylrekurskommission [EMARK] 1994 Nr. 5 E. 3c S. 43 f.; 1996 Nr. 28 E. 3a S. 270; 2005 Nr. 21 E. 6.1. S. 190 f.). An den genannten Kriterien ist nach wie vor festzuhalten, zumal die Rechtslage diesbezüglich keine Änderung erfahren hat.</w:t>
      </w:r>
    </w:p>
    <w:p>
      <w:r>
        <w:rPr>
          <w:b/>
        </w:rPr>
        <w:t>E. 3.3</w:t>
      </w:r>
    </w:p>
    <w:p>
      <w:r>
        <w:t>Das BFM hat im angefochtenen Entscheid unter Ziffer 2 der Erwägungen festgehalten, die vom Beschwerdeführer geltend gemachten Asylgründe seien unglaubhaft. Dieser Einschätzung ist grundsätzlich beizupflichten. Namentlich die Tatsache, dass er bezüglich des angeblich gegen ihn (und auch seinen Vater) eingeleiteten Ermittlungsverfahrens kaum konkrete Angaben zu machen in der Lage war, rechtfertigt die vorinstanzliche Sichtweise (A 7/14, S. 7 ff.). Anzufügen ist, dass er auch keinerlei diesbezügliche Beweismittel zu den Akten reichte und entsprechende Belege mangels fest stehender Identität des Beschwerdeführers nicht schlüssig dahingehend hätten überprüft werden können, ob sie sich überhaupt auf seine Person bezögen (vgl. dazu A 7/14, S. 3 unten). Im Weiteren sind die Angaben des Beschwerdeführers zur allgemeinen Verfolgungssituation religiöser Minderheiten im Zeitpunkt seiner Ausreise zwar nicht ohne jede Substanz; die ihn angeblich persönlich betreffenden Vorfälle weisen indes kaum Realkennzeichen auf und bestätigen den Verdacht, wonach die Kernvorbringen nicht realen Ereignissen entsprechen. Entgegen der nicht stichhaltigen Beschwerdeargumentation konnte der Beschwerdeführer so nicht den Eindruck von tatsächlich Erlebtem in der geschilderten Form vermitteln. Ob aufgrund seines Aussageverhaltens auch die vorgebrachte Zugehörigkeit zur Glaubensgemeinschaft der Hindus zu verneinen ist, kann im Lichte untenstehender Erwägungen offen bleiben.</w:t>
      </w:r>
    </w:p>
    <w:p>
      <w:r>
        <w:rPr>
          <w:b/>
        </w:rPr>
        <w:t>E. 3.4</w:t>
      </w:r>
    </w:p>
    <w:p>
      <w:r>
        <w:t>Immerhin weist der Beschwerdeführer in seinen Eingaben zu Recht auf religiöse Spannungen in seinem Heimatland hin. Zur Situation religiöser Minderheiten in Bangladesch ist Folgendes festzuhalten: Übereinstimmenden Berichten zufolge sind deren Mitglieder kaum je unmittelbarer staatlicher Verfolgung ausgesetzt. Die Religionsfreiheit ist grundsätzlich gewährleistet. Festnahmen oder Inhaftierungen allein aufgrund der religiösen Zugehörigkeit werden entsprechend nicht angeordnet. Vielmehr ist der Staat überwiegend bemüht, den Religionsfrieden zu wahren, und setzt zum Schutz von Minderheiten seine Organe ein. Einzuräumen ist allerdings, dass namentlich nach dem Machtwechsel von 2001 ländliche Behörden durch massive Gewalt extremistischer moslemischer Gruppierungen überfordert waren. Besagte Übergriffe offenbaren denn auch eine beträchtliche Gewaltbereitschaft im Rahmen von allerdings nicht immer ausschliesslich religiös bedingten Konflikten (vgl. EMARK 2006 Nr. 27 E. 4.4 und 4.5 S. 299 ff.) Der am 11. Januar 2007 durch den Staatspräsidenten auf unbestimmte Zeit verhängte Ausnahmezustand hat im Bereich der allgemeinen Sicherheit indes eher zu einer Verbesserung geführt. Davon profitieren Angehörige religiöser Minderheiten, da der Staat sowohl gegen zahlreiche lokale Machthaber, welche durch kriminelle Machenschaften das Gewaltklima angeheizt hatten, wie auch führende Vertreter einer gewaltbereiten moslemischen Organisation vorgegangen ist. An der Tatsache, dass namentlich lokale Behörden in ländlichen Gebieten mitunter nach wie vor nicht fähig oder allenfalls sogar nicht willens sind, den erforderlichen Schutz gebührend zu gewähren, hat sich zwar nichts Grundlegendes geändert. Hingegen kann in Anbetracht der offensichtlich vorhandenen Schutzwilligkeit zahlreicher Behörden und der in vielen Fällen auch unter Beweis gestellten Schutzfähigkeit davon ausgegangen werden, dass Opfer lokaler Gewalt im allgemeinen einen effektiven und zumutbaren Zugang zu einer funktionierenden Schutz-Infrastruktur haben (zur nunmehr anzuwendenden Schutztheorie vgl. EMARK 2006 Nr. 18). Dies beispielsweise auch mit Hilfe von NGOs, welche vor Ort zahlreich vertreten sind und sich für die Belange der religiösen Minderheiten einsetzen (zum Ganzen vgl. ai-Jahresbericht 2008, Bangladesh; US-Department of State, International Religious Freedom Report 2007 Bangladesh [Released on September 14, 2007]; US-Department of State, Country Reports on Human Rights Practices 2007 Bangladesh [Released on March 11, 2008]). Sollte der Beschwerdeführer tatsächlich der hinduistischen Glaubensgemeinschaft angehören und aus dem erwähnten Dorf stammen, wäre es ihm demnach unbenommen, wieder in der Grossstadt _______, wo sich ein Onkel und seine Schwester aufhalten sollen, Wohnsitz zu nehmen. Im Ergebnis kann jedenfalls entgegen den kaum stichhaltigen Beschwerdevorbringen und der hinreichend begründeten Auffassung des BFM davon ausgegangen werden, dass der Beschwerdeführer wegen seiner behaupteten religiösen Zugehörigkeit weder im Zeitpunkt der Ausreise noch aktuell landesweit mit einer Verfolgungssituation konfrontiert war beziehungsweise ist, der er nur mit Flucht ins Ausland entgehen könnte.</w:t>
      </w:r>
    </w:p>
    <w:p>
      <w:r>
        <w:rPr>
          <w:b/>
        </w:rPr>
        <w:t>E. 3.5</w:t>
      </w:r>
    </w:p>
    <w:p>
      <w:r>
        <w:t>Dem Beschwerdeführer ist es demnach nicht gelungen, nachzuweisen oder glaubhaft zu machen, dass er im Zeitpunkt der Ausreise aus Bangladesch ernsthaften Nachteilen im Sinne von Art. 3 Abs. 2 AsylG ausgesetzt war oder dass er begründete Furcht hat, solche Nachteile im Falle der Rückkehr in absehbarer Zukunft mit erheblicher Wahrscheinlichkeit erleiden zu müssen. Die Asylrelevanz der Vorbringen ist mithin zu verneinen. Es erübrigt sich, auf weitere Beschwerdevorbringen im Einzelnen einzugehen, weil sie am Ergebnis nichts ändern können. Das Bundesamt hat das Asylgesuch zu Recht abgelehnt.</w:t>
      </w:r>
    </w:p>
    <w:p>
      <w:r>
        <w:rPr>
          <w:b/>
        </w:rPr>
        <w:t>E. 4.1</w:t>
      </w:r>
    </w:p>
    <w:p>
      <w:r>
        <w:t>Lehnt das Bundesamt das Asylgesuch ab oder tritt es darauf nicht ein, so verfügt es in der Regel die Wegweisung aus der Schweiz und ordnet den Vollzug an (Art. 44 Abs. 1 AsylG).</w:t>
      </w:r>
    </w:p>
    <w:p>
      <w:r>
        <w:rPr>
          <w:b/>
        </w:rPr>
        <w:t>E. 4.2</w:t>
      </w:r>
    </w:p>
    <w:p>
      <w:r>
        <w:t>Der Beschwerdeführer verfügt weder über eine ausländerrechtliche Aufenthaltsbewilligung noch hat er einen Anspruch auf Erteilung einer solchen. Die Wegweisung wurde demnach zu Recht angeordnet (Art. 44 Abs. 1 AsylG; EMARK 2001 Nr. 21).</w:t>
      </w:r>
    </w:p>
    <w:p>
      <w:r>
        <w:rPr>
          <w:b/>
        </w:rPr>
        <w:t>E. 5</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Die Vorinstanz wies in der angefochtenen Verfügung zutreffend darauf hin, dass der Grundsatz der Nichtrückschiebung nur Personen schützt, welche die Flüchtlingseigenschaft erfüllen (vgl. Mario Gattiker, Das Asyl- und Wegweisungsverfahren, 3. Aufl., Bern 1999, S. 89). Da es dem Beschwerdeführer nicht gelungen ist, eine flüchtlingsrechtlich erhebliche Gefährdung nachzuweisen oder glaubhaft zu machen, kann das in Art. 5 AsylG verankerte Prinzip des flüchtlingsrechtlichen Non-Refoulements im vorliegenden Verfahren keine Anwendung finden. Eine Rückkehr des Beschwerdeführers nach Bangladesch ist demnach unter dem Aspekt von Art. 5 AsylG rechtmässig. Sodann ergeben sich weder aus den Aussagen des Beschwerdeführers noch aus den Akten Anhaltspunkte dafür, dass er für den Fall einer Ausschaffung nach Bangladesch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Aufgrund der Akten sowie der vorstehenden Erwägungen betreffend die Frage der Flüchtlingseigenschaft und des Asyls ist indessen nicht davon auszugehen, dass ihm im Falle einer Rückkehr nach Bangladesch eine derartige Gefahr droht, welche den Wegweisungsvollzug als unzulässig erscheinen lassen würde.</w:t>
      </w:r>
    </w:p>
    <w:p>
      <w:r>
        <w:rPr>
          <w:b/>
        </w:rPr>
        <w:t>E. 5.2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Der Vollzug der Wegweisung des Beschwerdeführers nach Bangladesch ist im vorliegenden Fall als zumutbar im Sinne von Art. 83 Abs. 4 AuG zu erachten, da er nicht darzutun vermochte, dass er bei einer Rückkehr in sein Heimatland einer konkreten Gefährdungssituation im Sinne der zu beachtenden Bestimmung ausgesetzt wäre. In den Akten finden sich auch keine konkreten Anhaltspunkte dafür, dass der Beschwerdeführer aus individuellen Gründen wirtschaftlicher, sozialer oder gesundheitlicher Natur in eine existenzbedrohende Situation geraten würde. Sollte er im Sinne seiner Vorbringen tatsächlich keinen Kontakt zu seinen Angehörigen beziehungsweise seinem Onkel mehr haben, wäre ihm zuzumuten, sich um dessen aktuelle Adresse in _______ oder einem allfälligen späteren Aufenthaltsort zu bemühen (vgl. A 7/14, S. 3). Im Übrigen verfügt der noch junge, gemäss Aktenlage gesunde Beschwerdeführer über Arbeitserfahrung und eine gewisse Schulbildung. Im Heimatland hatte er Kontakt zu Freunden und Bekannten (A 1/11, S. 2 und 5). Mit der allfälligen Unterstützung des erwähnten Onkels, welcher für die Ausreisekosten aufgekommen sein soll (A 1/11, S. 8), dürfte es ihm so gelingen, sich vor Ort wieder zu etablieren.</w:t>
      </w:r>
    </w:p>
    <w:p>
      <w:r>
        <w:rPr>
          <w:b/>
        </w:rPr>
        <w:t>E. 5.3</w:t>
      </w:r>
    </w:p>
    <w:p>
      <w:r>
        <w:t>Schliesslich obliegt es dem Beschwerdeführer, sich in Zusammenarbeit mit der Vorinstanz bei der zuständigen Vertretung seines Heimatlandes die für eine Rückkehr notwendigen Reisedokumente zu beschaffen (Art. 8 Abs. 4 AsylG), weshalb der Vollzug der Wegweisung auch als möglich zu bezeichnen ist (Art. 83 Abs. 2 AuG).</w:t>
      </w:r>
    </w:p>
    <w:p>
      <w:r>
        <w:rPr>
          <w:b/>
        </w:rPr>
        <w:t>E. 5.4</w:t>
      </w:r>
    </w:p>
    <w:p>
      <w:r>
        <w:t>Zusammenfassend ergibt sich, dass der von der Vorinstanz verfügte Wegweisungsvollzug in Übereinstimmung mit den zu beachtenden Bestimmungen steht und zu bestätigen ist. Eine Anordnung der vorläufigen Aufnahme fällt damit ausser Betracht (Art. 83 Abs. 1 - 4 AuG).</w:t>
      </w:r>
    </w:p>
    <w:p>
      <w:r>
        <w:rPr>
          <w:b/>
        </w:rPr>
        <w:t>E. 6</w:t>
      </w:r>
    </w:p>
    <w:p>
      <w:r>
        <w:t>Aus diesen Erwägungen folgt, dass die angefochtene Verfügung Bundesrecht nicht verletzt, den rechtserheblichen Sachverhalt richtig und vollständig feststellt und angemessen ist (Art. 106 AsylG). Die Beschwerde ist demnach abzuweisen.</w:t>
      </w:r>
    </w:p>
    <w:p>
      <w:r>
        <w:rPr>
          <w:b/>
        </w:rPr>
        <w:t>E. 7</w:t>
      </w:r>
    </w:p>
    <w:p>
      <w:r>
        <w:t>Bei diesem Ausgang des Verfahrens wären dessen Kosten dem Beschwerdeführer aufzuerlegen (Art. 63 Abs. 1 VwVG). Nachdem er gemäss Aktenlage nach wie vor über keine Arbeitsstelle verfügt, demnach bedürftig ist, und die Beschwerde nicht als zum Vornherein aussichtslos zu beurteilen war, wird in Gutheissung des Gesuchs im Sinne von Art. 65 Abs. 1 VwVG auf die Kostenauflage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