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D-6009/2006 vom 15. August 2011</w:t>
      </w:r>
    </w:p>
    <w:p>
      <w:r>
        <w:t>Bundesverwaltungsgericht, 2011-08-15, DE</w:t>
      </w:r>
    </w:p>
    <w:p>
      <w:r>
        <w:rPr>
          <w:b/>
        </w:rPr>
        <w:t xml:space="preserve">Quelle: </w:t>
      </w:r>
      <w:r>
        <w:t>https://mcp.opencaselaw.ch/entscheid/bvger_D-6009_2006</w:t>
      </w:r>
    </w:p>
    <w:p>
      <w:r>
        <w:t>FR: TAF D-6009/2006 du 15 août 2011</w:t>
      </w:r>
    </w:p>
    <w:p>
      <w:r>
        <w:t>IT: TAF D-6009/2006 del 15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des Asylgesetzes vom 26. Juni 1998 [AsylG, SR 142.31]; Art. 83 Bst. d Ziff. 1 des Bundesgerichtsgesetzes vom 17. Juni 2005 [BGG, SR 173.110]).</w:t>
      </w:r>
    </w:p>
    <w:p>
      <w:r>
        <w:rPr>
          <w:b/>
        </w:rPr>
        <w:t>E. 1.2</w:t>
      </w:r>
    </w:p>
    <w:p>
      <w:r>
        <w:t>Das Bundesverwaltungsgericht hat am 1. Januar 2007 die bei der vormaligen ARK am 31. Dezember 2006 hängig gewesenen Rechtsmittel übernommen. Die Beurteilung erfolgt nach neuem Verfahrensrecht (Art. 53 Abs. 2 VGG).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namentlich damit, er habe aus Afghanistan flüchten müssen, da ihm die Steinigung gedroht habe, nachdem sein Liebesverhältnis mit einer verheirateten Frau deren Ehemann beziehungsweise dessen Vater bekanntgeworden sei.</w:t>
      </w:r>
    </w:p>
    <w:p>
      <w:r>
        <w:rPr>
          <w:b/>
        </w:rPr>
        <w:t>E. 4.2</w:t>
      </w:r>
    </w:p>
    <w:p>
      <w:r>
        <w:t>Wie das BFM in der angefochtenen Verfügung indessen zutreffend festgestellt hat, weisen die Schilderungen des Beschwerdeführers in Bezug auf den Verlauf der Affäre und in Bezug auf sein Verhalten nach Bekanntwerden seines Liebesverhältnisses derart viele Ungereimtheiten auf, dass an der Glaubhaftigkeit seiner entsprechenden Vorbringen gezweifelt werden muss.</w:t>
      </w:r>
    </w:p>
    <w:p>
      <w:r>
        <w:rPr>
          <w:b/>
        </w:rPr>
        <w:t>E. 4.2.1</w:t>
      </w:r>
    </w:p>
    <w:p>
      <w:r>
        <w:t>So ist tatsächlich nicht nachvollziehbar, weshalb der Beschwerdeführer jeden Freitag einen Spaziergang mit seiner Geliebten in einem öffentlichen Park unternommen und sie bisweilen auch zuhause besucht haben soll, da hierdurch das reelle Risiko bestanden hätte, von einer Person aus dem Umfeld des Ehemannes oder seiner Geliebten als deren Begleiter entdeckt beziehungsweise beobachtet zu werden. Die diesbezügliche, im Übrigen reichlich undifferenziert anmutende Entgegnung in der Beschwerde, die Nachbarn in Herat seien "alles vertriebene Menschen" gewesen, die "sich auch nicht so für die privaten Angelegenheiten der anderen" interessiert hätten (vgl. Beschwerde S. 4 oben), vermag hieran im Ergebnis nichts zu ändern, da sie die Gefahr für den Beschwerdeführer, von Bekannten oder Verwandten der Geliebten oder deren Ehemannes in der Öffentlichkeit entdeckt zu werden, ja keineswegs beseitigt hätte.</w:t>
      </w:r>
    </w:p>
    <w:p>
      <w:r>
        <w:rPr>
          <w:b/>
        </w:rPr>
        <w:t>E. 4.2.2</w:t>
      </w:r>
    </w:p>
    <w:p>
      <w:r>
        <w:t>Realitätsfremd wirkt sodann die Behauptung des Beschwerdeführers, er habe sich erst in der Umgebung von Herat versteckt, nachdem sein Vater von einem Verwandten des betrogenen Ehemannes zu einer Aussprache mitgenommen worden sei, wiewohl ihn die Geliebte bereits am Vortag darüber unterrichtet habe, dass ihr Verhältnis aufgeflogen sei, musste er doch als Ehebrecher im afghanischen Kontext - wie von ihm denn auch geltend gemacht wird - unter Umständen damit rechnen, zum Tode verurteilt zu werden. Dieselbe Feststellung gilt auch bezüglich der Behauptung des Beschwerdeführers, nach zwei oder drei Tagen zu seinem Vater nach Hause zurückgekehrt zu sein, hätte er doch jederzeit damit rechnen müssen, dort seitens der Angehörigen des Ehemannes seiner Geliebten ausfindig gemacht beziehungsweise festgenommen zu werden.</w:t>
      </w:r>
    </w:p>
    <w:p>
      <w:r>
        <w:rPr>
          <w:b/>
        </w:rPr>
        <w:t>E. 4.2.3</w:t>
      </w:r>
    </w:p>
    <w:p>
      <w:r>
        <w:t>Gegen die Glaubhaftigkeit seiner Asylvorbringen spricht schliesslich auch die aus emotionaler Sicht zumindest befremdlich anmutende Verhaltensweise des Beschwerdeführers, seine Heimat auf Anraten seines Vaters unverzüglich zu verlassen, ohne den weiteren Verlauf der Geschehnisse abzuwarten oder sich um das weitere Schicksal seiner Geliebten zu kümmern, äusserte er sich doch unmissverständlich dahingehend, diese zu lieben und heiraten zu wollen (vgl. act. A1/9 S. 5 Ziff. 15 i.V.m. act. A13/12 S. 7).</w:t>
      </w:r>
    </w:p>
    <w:p>
      <w:r>
        <w:rPr>
          <w:b/>
        </w:rPr>
        <w:t>E. 4.3</w:t>
      </w:r>
    </w:p>
    <w:p>
      <w:r>
        <w:t>Zusammenfassend ist festzuhalten, dass es dem Beschwerdefüh­rer nicht gelungen ist, eine asylrechtlich erhebliche Verfol­gungsgefahr nachzu­weisen oder zumindest glaubhaft zu machen. Zur Ver­meidung weite­rer Wiederholungen kann im Übrigen vollumfänglich auf die Erwägun­gen in der angefochtenen Verfügung verwiesen werden. Es erüb­rigt sich daher, auf weitere Vorbringen in der Beschwerde einzuge­hen, da sie am Ergebnis nichts ändern können. Das Bundesamt hat sein Asylgesuch daher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S. 733 mit weiteren Hinweisen,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EMARK 2006 Nr. 6 E. 4.2 S. 54 f.).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6.2</w:t>
      </w:r>
    </w:p>
    <w:p>
      <w:r>
        <w:t>Weil sich vorliegend der Vollzug der Wegweisung - aus den nachfolgend aufgeführten Gründen - als unzumutbar erweist, ist dementsprechend auf eine Erörterung der beiden anderen Kriterien zu verzichten.</w:t>
      </w:r>
    </w:p>
    <w:p>
      <w:r>
        <w:rPr>
          <w:b/>
        </w:rPr>
        <w:t>E. 7.1</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In Bezug auf die allgemeine Lage in Afghanistan kann auf die vom Bundesverwaltungsgericht vorgenommene Einschätzung der Lage in einem vor kurzem ergangenen, zur Publikation vorgesehenen Grundsatzurteil verwiesen werden (vgl. Urteil des Bundesverwaltungsgerichts 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a.a.O. E. 9.9.1 f.). Die Frage, ob hinsichtlich der Städte Mazar-i-Sharif und Herat in Bezug auf die Zumutbarkeit des Wegweisungsvollzugs Ähnliches gesagt werden könne wie zu Kabul, wurde im erwähnten Grundsatzurteil offen gelassen, weil von vornherein ungenügende Anknüpfungspunkte bestanden (vgl. a.a.O. E. 9.9.3).</w:t>
      </w:r>
    </w:p>
    <w:p>
      <w:r>
        <w:rPr>
          <w:b/>
        </w:rPr>
        <w:t>E. 7.3</w:t>
      </w:r>
    </w:p>
    <w:p>
      <w:r>
        <w:t>Der Beschwerdeführer hat zwar nach eigenem Bekunden während der letzten vier oder fünf Jahre bis zu seiner Ausreise im Mai 2005 zusammen mit seinen Eltern sowie mehreren Geschwistern in der Stadt Herat gelebt. Da seine Familie indessen Herat gemäss dem Schreiben seiner Rechtsvertreterin vom 2. August 2011 zu einem nicht näher bekannten Zeitpunkt wieder verlassen und nach C._______ zurückgekehrt sein soll, muss aufgrund der Akten davon ausgegangen werden, dass er in Herat über keine Verwandten und damit kein tragfähiges Beziehungsnetz mehr verfügt, welches ihm aufgrund der aktuell schwierigen Verhältnisse bei der Reintegration in dieser Stadt behilflich sein könnte. Mit Blick auf die vorstehend dargelegte Situation im Heimatland (vgl. E. 7.2) ist der Wegweisungsvollzug des Beschwerdeführers nach Herat somit ohne eingehende weitere Prüfung als nicht zumutbar zu qualifizieren. Da der Beschwerdeführer überdies gemäss den Akten weder in den Grossstädten Kabul noch Mazar-i-Sharif über weitere Verwandte verfügt, kommt von vorneherein auch keine Aufenthaltsalternative in diesen afghanischen Städten in Frage.</w:t>
      </w:r>
    </w:p>
    <w:p>
      <w:r>
        <w:rPr>
          <w:b/>
        </w:rPr>
        <w:t>E. 7.4</w:t>
      </w:r>
    </w:p>
    <w:p>
      <w:r>
        <w:t>Insgesamt erweist sich der Vollzug der Wegweisung nach Afghanistan im Sinne von Art. 83 Abs. 4 AuG als unzumutbar. Nachdem sich aus den Akten keine Ausschlussgründe im Sinne von Art. 83 Abs. 7 AuG ergeben, sind die Voraussetzungen für die Anordnung der vorläufigen Aufnahme somit erfüllt.</w:t>
      </w:r>
    </w:p>
    <w:p>
      <w:r>
        <w:rPr>
          <w:b/>
        </w:rPr>
        <w:t>E. 8</w:t>
      </w:r>
    </w:p>
    <w:p>
      <w:r>
        <w:t>Nach dem Gesagten ist die Beschwerde gutzuheissen, soweit beantragt wird, es sei die Unzumutbarkeit des Wegweisungsvollzugs festzustellen; im Übrigen ist sie abzuweisen. Die Ziffern 4 und 5 des Dispositivs der vor­instanzlichen Verfügung vom 15. Juni 2006 sind demnach aufzuheben und das BFM ist anzuweisen, den Aufenthalt des Beschwerdeführers nach den gesetzlichen Bestimmungen über die vorläufige Aufnahme zu regeln (vgl. Art. 44 Abs. 2 AsylG und Art. 83 Abs. 4 AuG).</w:t>
      </w:r>
    </w:p>
    <w:p>
      <w:r>
        <w:rPr>
          <w:b/>
        </w:rPr>
        <w:t>E. 9.1</w:t>
      </w:r>
    </w:p>
    <w:p>
      <w:r>
        <w:t>Bei diesem Ausgang des Verfahrens ist dem Beschwerdeführer grundsätzlich ein reduzierter Anteil der Verfahrenskosten aufzuerlegen (Art. 63 Abs. 1 und 2 VwVG). Der Beschwerdeführer hat im Rahmen seiner Beschwerde ein Gesuch um Gewährung der unentgeltlichen Rechtspflege im Sinne von Art. 65 Abs. 1 VwVG gestellt, das vom Instruktionsrichter mit Verfügung vom 21. Juli 2006 in den Endentscheid verwiesen worden ist. Da der Beschwerdeführer erst seit kurzem einer Erwerbstätigkeit im Gastgewerbe nachgeht, ist immer noch von seiner Bedürftigkeit auszugehen, weshalb das Gesuch um Gewährung der unentgeltlichen Prozessführung - soweit nicht durch die teilweise Gutheissung der Beschwerde gegenstandslos geworden - gutzuheissen und folglich auf die Erhebung von Verfahrenskosten zu verzichten ist.</w:t>
      </w:r>
    </w:p>
    <w:p>
      <w:r>
        <w:rPr>
          <w:b/>
        </w:rPr>
        <w:t>E. 9.2</w:t>
      </w:r>
    </w:p>
    <w:p>
      <w:r>
        <w:t>Gemäss Art. 64 Abs. 1 VwVG kann die Beschwerdeinstanz der obsiegenden Partei eine Parteientschädigung für die notwendigen und verhältnismässig hohen Kosten zusprechen. Angesichts des teilweisen Obsiegens ist dem vertretenen Beschwerdeführer eine reduzierte Parteientschädigung zuzusprechen (Art. 7 Abs. 2 des Reglements vom 21. Feb­ruar 2008 über die Kosten und Entschädigungen vor dem Bundesverwaltungsgericht (VGKE, SR 173.320.2). Die Rechtsvertreterin des Beschwer­deführers hat keine Kostennote eingereicht. Der Vertretungsaufwand lässt sich indessen aufgrund der Verfahrensakten verlässlich einschätzen, weshalb auf die Einforderung einer Kostennote zu verzichten ist (vgl. Art. 14 Abs. 2 in fine VGKE). Unter Berücksichtigung der massgebenden Berechnungsfaktoren (Art. 9-11 und 13 VGKE) ist die um die Hälfte zu kürzende Parteientschädigung auf Fr. 400.- (inklusive Auslagen und Mehrwertsteuer)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